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7"/>
        <w:tblW w:w="10208" w:type="dxa"/>
        <w:tblInd w:w="-472" w:type="dxa"/>
        <w:tblBorders>
          <w:top w:val="none" w:color="auto" w:sz="0"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854"/>
        <w:gridCol w:w="5318"/>
        <w:gridCol w:w="3036"/>
      </w:tblGrid>
      <w:tr w14:paraId="107D08FD">
        <w:tblPrEx>
          <w:tblBorders>
            <w:top w:val="none" w:color="auto" w:sz="0"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856" w:type="dxa"/>
            <w:noWrap w:val="0"/>
            <w:vAlign w:val="top"/>
          </w:tcPr>
          <w:p w14:paraId="41C0A7EC">
            <w:pPr>
              <w:snapToGrid w:val="0"/>
              <w:spacing w:line="360" w:lineRule="auto"/>
              <w:ind w:firstLine="301" w:firstLineChars="100"/>
              <w:rPr>
                <w:b/>
                <w:bCs/>
                <w:color w:val="auto"/>
                <w:sz w:val="30"/>
                <w:szCs w:val="30"/>
                <w:highlight w:val="none"/>
              </w:rPr>
            </w:pPr>
            <w:r>
              <w:rPr>
                <w:b/>
                <w:bCs/>
                <w:color w:val="auto"/>
                <w:sz w:val="30"/>
                <w:szCs w:val="30"/>
                <w:highlight w:val="none"/>
              </w:rPr>
              <w:t>UDC</w:t>
            </w:r>
          </w:p>
        </w:tc>
        <w:tc>
          <w:tcPr>
            <w:tcW w:w="5331" w:type="dxa"/>
            <w:noWrap w:val="0"/>
            <w:vAlign w:val="top"/>
          </w:tcPr>
          <w:p w14:paraId="1BC4D455">
            <w:pPr>
              <w:snapToGrid w:val="0"/>
              <w:spacing w:line="360" w:lineRule="auto"/>
              <w:rPr>
                <w:b/>
                <w:bCs/>
                <w:color w:val="auto"/>
                <w:sz w:val="30"/>
                <w:szCs w:val="30"/>
                <w:highlight w:val="none"/>
              </w:rPr>
            </w:pPr>
          </w:p>
        </w:tc>
        <w:tc>
          <w:tcPr>
            <w:tcW w:w="3021" w:type="dxa"/>
            <w:noWrap w:val="0"/>
            <w:vAlign w:val="top"/>
          </w:tcPr>
          <w:p w14:paraId="50D49584">
            <w:pPr>
              <w:snapToGrid w:val="0"/>
              <w:spacing w:line="360" w:lineRule="auto"/>
              <w:rPr>
                <w:b/>
                <w:bCs/>
                <w:color w:val="auto"/>
                <w:sz w:val="30"/>
                <w:szCs w:val="30"/>
                <w:highlight w:val="none"/>
              </w:rPr>
            </w:pPr>
          </w:p>
        </w:tc>
      </w:tr>
      <w:tr w14:paraId="70378CED">
        <w:tblPrEx>
          <w:tblBorders>
            <w:top w:val="none" w:color="auto" w:sz="0"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856" w:type="dxa"/>
            <w:noWrap w:val="0"/>
            <w:vAlign w:val="top"/>
          </w:tcPr>
          <w:p w14:paraId="65E2E65F">
            <w:pPr>
              <w:snapToGrid w:val="0"/>
              <w:spacing w:line="360" w:lineRule="auto"/>
              <w:rPr>
                <w:b/>
                <w:bCs/>
                <w:color w:val="auto"/>
                <w:sz w:val="30"/>
                <w:szCs w:val="30"/>
                <w:highlight w:val="none"/>
              </w:rPr>
            </w:pPr>
          </w:p>
        </w:tc>
        <w:tc>
          <w:tcPr>
            <w:tcW w:w="5331" w:type="dxa"/>
            <w:noWrap w:val="0"/>
            <w:vAlign w:val="center"/>
          </w:tcPr>
          <w:p w14:paraId="513BE636">
            <w:pPr>
              <w:snapToGrid w:val="0"/>
              <w:spacing w:line="360" w:lineRule="auto"/>
              <w:jc w:val="center"/>
              <w:rPr>
                <w:b/>
                <w:bCs/>
                <w:color w:val="auto"/>
                <w:sz w:val="30"/>
                <w:szCs w:val="30"/>
                <w:highlight w:val="none"/>
              </w:rPr>
            </w:pPr>
            <w:r>
              <w:rPr>
                <w:rFonts w:eastAsia="黑体"/>
                <w:b/>
                <w:bCs/>
                <w:color w:val="auto"/>
                <w:sz w:val="36"/>
                <w:szCs w:val="36"/>
                <w:highlight w:val="none"/>
              </w:rPr>
              <w:t>中华人民共和国国家标准</w:t>
            </w:r>
          </w:p>
        </w:tc>
        <w:tc>
          <w:tcPr>
            <w:tcW w:w="3021" w:type="dxa"/>
            <w:noWrap w:val="0"/>
            <w:vAlign w:val="top"/>
          </w:tcPr>
          <w:p w14:paraId="7E65B17D">
            <w:pPr>
              <w:snapToGrid w:val="0"/>
              <w:spacing w:line="360" w:lineRule="auto"/>
              <w:rPr>
                <w:b/>
                <w:bCs/>
                <w:color w:val="auto"/>
                <w:sz w:val="30"/>
                <w:szCs w:val="30"/>
                <w:highlight w:val="none"/>
              </w:rPr>
            </w:pPr>
            <w:r>
              <w:rPr>
                <w:b/>
                <w:bCs/>
                <w:color w:val="auto"/>
                <w:sz w:val="30"/>
                <w:szCs w:val="30"/>
                <w:highlight w:val="none"/>
              </w:rPr>
              <w:drawing>
                <wp:inline distT="0" distB="0" distL="114300" distR="114300">
                  <wp:extent cx="1781175" cy="1228725"/>
                  <wp:effectExtent l="0" t="0" r="9525" b="9525"/>
                  <wp:docPr id="1" name="图片 1" desc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GB"/>
                          <pic:cNvPicPr>
                            <a:picLocks noChangeAspect="1"/>
                          </pic:cNvPicPr>
                        </pic:nvPicPr>
                        <pic:blipFill>
                          <a:blip r:embed="rId5"/>
                          <a:stretch>
                            <a:fillRect/>
                          </a:stretch>
                        </pic:blipFill>
                        <pic:spPr>
                          <a:xfrm>
                            <a:off x="0" y="0"/>
                            <a:ext cx="1781175" cy="1228725"/>
                          </a:xfrm>
                          <a:prstGeom prst="rect">
                            <a:avLst/>
                          </a:prstGeom>
                          <a:noFill/>
                          <a:ln>
                            <a:noFill/>
                          </a:ln>
                        </pic:spPr>
                      </pic:pic>
                    </a:graphicData>
                  </a:graphic>
                </wp:inline>
              </w:drawing>
            </w:r>
          </w:p>
        </w:tc>
      </w:tr>
      <w:tr w14:paraId="5864DE9C">
        <w:tblPrEx>
          <w:tblBorders>
            <w:top w:val="none" w:color="auto" w:sz="0"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1" w:hRule="atLeast"/>
        </w:trPr>
        <w:tc>
          <w:tcPr>
            <w:tcW w:w="1856" w:type="dxa"/>
            <w:noWrap w:val="0"/>
            <w:vAlign w:val="top"/>
          </w:tcPr>
          <w:p w14:paraId="4D625295">
            <w:pPr>
              <w:snapToGrid w:val="0"/>
              <w:spacing w:line="360" w:lineRule="auto"/>
              <w:rPr>
                <w:b/>
                <w:bCs/>
                <w:color w:val="auto"/>
                <w:sz w:val="30"/>
                <w:szCs w:val="30"/>
                <w:highlight w:val="none"/>
                <w14:textOutline w14:w="9525" w14:cmpd="sng">
                  <w14:solidFill>
                    <w14:schemeClr w14:val="accent1">
                      <w14:alpha w14:val="0"/>
                    </w14:schemeClr>
                  </w14:solidFill>
                  <w14:prstDash w14:val="solid"/>
                  <w14:round/>
                </w14:textOutline>
              </w:rPr>
            </w:pPr>
            <w:r>
              <w:rPr>
                <w:b/>
                <w:bCs/>
                <w:color w:val="auto"/>
                <w:sz w:val="30"/>
                <w:szCs w:val="30"/>
                <w:highlight w:val="none"/>
              </w:rPr>
              <w:t>P</w:t>
            </w:r>
          </w:p>
        </w:tc>
        <w:tc>
          <w:tcPr>
            <w:tcW w:w="8352" w:type="dxa"/>
            <w:gridSpan w:val="2"/>
            <w:noWrap w:val="0"/>
            <w:vAlign w:val="center"/>
          </w:tcPr>
          <w:p w14:paraId="32331A51">
            <w:pPr>
              <w:snapToGrid w:val="0"/>
              <w:spacing w:line="360" w:lineRule="auto"/>
              <w:jc w:val="center"/>
              <w:rPr>
                <w:rFonts w:hint="default" w:eastAsia="宋体"/>
                <w:b/>
                <w:bCs/>
                <w:color w:val="auto"/>
                <w:sz w:val="30"/>
                <w:szCs w:val="30"/>
                <w:highlight w:val="none"/>
                <w:lang w:val="en-US" w:eastAsia="zh-CN"/>
              </w:rPr>
            </w:pPr>
            <w:r>
              <w:rPr>
                <w:rFonts w:hint="eastAsia"/>
                <w:b/>
                <w:bCs/>
                <w:color w:val="auto"/>
                <w:kern w:val="0"/>
                <w:sz w:val="32"/>
                <w:szCs w:val="32"/>
                <w:highlight w:val="none"/>
                <w:lang w:val="en-US" w:eastAsia="zh-CN"/>
              </w:rPr>
              <w:t xml:space="preserve">                           </w:t>
            </w:r>
            <w:r>
              <w:rPr>
                <w:b/>
                <w:bCs/>
                <w:color w:val="auto"/>
                <w:kern w:val="0"/>
                <w:sz w:val="32"/>
                <w:szCs w:val="32"/>
                <w:highlight w:val="none"/>
              </w:rPr>
              <w:t>GB</w:t>
            </w:r>
            <w:r>
              <w:rPr>
                <w:rFonts w:hint="eastAsia"/>
                <w:b/>
                <w:bCs/>
                <w:color w:val="auto"/>
                <w:kern w:val="0"/>
                <w:sz w:val="32"/>
                <w:szCs w:val="32"/>
                <w:highlight w:val="none"/>
                <w:lang w:val="en-US" w:eastAsia="zh-CN"/>
              </w:rPr>
              <w:t>/T</w:t>
            </w:r>
            <w:r>
              <w:rPr>
                <w:b/>
                <w:bCs/>
                <w:color w:val="auto"/>
                <w:kern w:val="0"/>
                <w:sz w:val="32"/>
                <w:szCs w:val="32"/>
                <w:highlight w:val="none"/>
              </w:rPr>
              <w:t xml:space="preserve"> 50574 -</w:t>
            </w:r>
            <w:r>
              <w:rPr>
                <w:rFonts w:hint="eastAsia"/>
                <w:b/>
                <w:bCs/>
                <w:color w:val="auto"/>
                <w:kern w:val="0"/>
                <w:sz w:val="32"/>
                <w:szCs w:val="32"/>
                <w:highlight w:val="none"/>
                <w:lang w:val="en-US" w:eastAsia="zh-CN"/>
              </w:rPr>
              <w:t>2010</w:t>
            </w:r>
          </w:p>
        </w:tc>
      </w:tr>
    </w:tbl>
    <w:p w14:paraId="5E5526EB">
      <w:pPr>
        <w:snapToGrid w:val="0"/>
        <w:spacing w:line="360" w:lineRule="auto"/>
        <w:rPr>
          <w:b/>
          <w:bCs/>
          <w:color w:val="auto"/>
          <w:sz w:val="30"/>
          <w:szCs w:val="30"/>
          <w:highlight w:val="none"/>
          <w:bdr w:val="single" w:sz="0" w:space="0"/>
        </w:rPr>
      </w:pPr>
    </w:p>
    <w:p w14:paraId="33D635DE">
      <w:pPr>
        <w:snapToGrid w:val="0"/>
        <w:spacing w:line="360" w:lineRule="auto"/>
        <w:rPr>
          <w:b/>
          <w:bCs/>
          <w:color w:val="auto"/>
          <w:sz w:val="30"/>
          <w:szCs w:val="30"/>
          <w:highlight w:val="none"/>
        </w:rPr>
      </w:pPr>
    </w:p>
    <w:p w14:paraId="66E0B7ED">
      <w:pPr>
        <w:snapToGrid w:val="0"/>
        <w:spacing w:line="360" w:lineRule="auto"/>
        <w:jc w:val="center"/>
        <w:outlineLvl w:val="9"/>
        <w:rPr>
          <w:rFonts w:hint="eastAsia" w:ascii="黑体" w:hAnsi="黑体" w:eastAsia="黑体" w:cs="黑体"/>
          <w:b w:val="0"/>
          <w:bCs w:val="0"/>
          <w:color w:val="auto"/>
          <w:sz w:val="48"/>
          <w:szCs w:val="22"/>
          <w:highlight w:val="none"/>
        </w:rPr>
      </w:pPr>
      <w:bookmarkStart w:id="0" w:name="_Toc12641"/>
      <w:r>
        <w:rPr>
          <w:rFonts w:hint="eastAsia" w:ascii="黑体" w:hAnsi="黑体" w:eastAsia="黑体" w:cs="黑体"/>
          <w:b w:val="0"/>
          <w:bCs w:val="0"/>
          <w:color w:val="auto"/>
          <w:sz w:val="48"/>
          <w:szCs w:val="22"/>
          <w:highlight w:val="none"/>
        </w:rPr>
        <w:t>墙体材料应用统一技术</w:t>
      </w:r>
      <w:r>
        <w:rPr>
          <w:rFonts w:hint="eastAsia" w:ascii="黑体" w:hAnsi="黑体" w:eastAsia="黑体" w:cs="黑体"/>
          <w:b w:val="0"/>
          <w:bCs w:val="0"/>
          <w:spacing w:val="40"/>
          <w:sz w:val="48"/>
          <w:szCs w:val="48"/>
          <w:bdr w:val="single" w:color="auto" w:sz="4" w:space="0"/>
        </w:rPr>
        <w:t>规范</w:t>
      </w:r>
      <w:r>
        <w:rPr>
          <w:rFonts w:hint="eastAsia" w:ascii="黑体" w:hAnsi="黑体" w:eastAsia="黑体" w:cs="黑体"/>
          <w:b w:val="0"/>
          <w:bCs w:val="0"/>
          <w:spacing w:val="40"/>
          <w:sz w:val="48"/>
          <w:szCs w:val="48"/>
          <w:u w:val="single"/>
        </w:rPr>
        <w:t>标准</w:t>
      </w:r>
      <w:bookmarkEnd w:id="0"/>
    </w:p>
    <w:p w14:paraId="2D6070BF">
      <w:pPr>
        <w:autoSpaceDE w:val="0"/>
        <w:autoSpaceDN w:val="0"/>
        <w:adjustRightInd w:val="0"/>
        <w:jc w:val="center"/>
        <w:rPr>
          <w:color w:val="auto"/>
          <w:kern w:val="0"/>
          <w:sz w:val="32"/>
          <w:szCs w:val="32"/>
          <w:highlight w:val="none"/>
        </w:rPr>
      </w:pPr>
      <w:r>
        <w:rPr>
          <w:color w:val="auto"/>
          <w:kern w:val="0"/>
          <w:sz w:val="32"/>
          <w:szCs w:val="32"/>
          <w:highlight w:val="none"/>
          <w:shd w:val="clear" w:color="auto" w:fill="auto"/>
        </w:rPr>
        <w:t>Uniform</w:t>
      </w:r>
      <w:r>
        <w:rPr>
          <w:color w:val="auto"/>
          <w:kern w:val="0"/>
          <w:sz w:val="32"/>
          <w:szCs w:val="32"/>
          <w:highlight w:val="none"/>
        </w:rPr>
        <w:t xml:space="preserve"> techni</w:t>
      </w:r>
      <w:r>
        <w:rPr>
          <w:rFonts w:hint="eastAsia"/>
          <w:color w:val="auto"/>
          <w:kern w:val="0"/>
          <w:sz w:val="32"/>
          <w:szCs w:val="32"/>
          <w:highlight w:val="none"/>
        </w:rPr>
        <w:t>cal</w:t>
      </w:r>
      <w:r>
        <w:rPr>
          <w:color w:val="auto"/>
          <w:kern w:val="0"/>
          <w:sz w:val="32"/>
          <w:szCs w:val="32"/>
          <w:highlight w:val="none"/>
        </w:rPr>
        <w:t xml:space="preserve"> </w:t>
      </w:r>
      <w:r>
        <w:rPr>
          <w:color w:val="auto"/>
          <w:kern w:val="0"/>
          <w:sz w:val="32"/>
          <w:szCs w:val="32"/>
          <w:highlight w:val="none"/>
          <w:bdr w:val="single" w:sz="0" w:space="0"/>
        </w:rPr>
        <w:t>code</w:t>
      </w:r>
      <w:r>
        <w:rPr>
          <w:color w:val="auto"/>
          <w:kern w:val="0"/>
          <w:sz w:val="32"/>
          <w:szCs w:val="32"/>
          <w:highlight w:val="none"/>
        </w:rPr>
        <w:t xml:space="preserve"> </w:t>
      </w:r>
      <w:r>
        <w:rPr>
          <w:rFonts w:hint="eastAsia"/>
          <w:color w:val="auto"/>
          <w:kern w:val="0"/>
          <w:sz w:val="32"/>
          <w:szCs w:val="32"/>
          <w:highlight w:val="none"/>
          <w:u w:val="single"/>
          <w:lang w:val="en-US" w:eastAsia="zh-CN"/>
        </w:rPr>
        <w:t>standard</w:t>
      </w:r>
      <w:r>
        <w:rPr>
          <w:rFonts w:hint="eastAsia"/>
          <w:color w:val="auto"/>
          <w:kern w:val="0"/>
          <w:sz w:val="32"/>
          <w:szCs w:val="32"/>
          <w:highlight w:val="none"/>
          <w:lang w:val="en-US" w:eastAsia="zh-CN"/>
        </w:rPr>
        <w:t xml:space="preserve"> </w:t>
      </w:r>
      <w:r>
        <w:rPr>
          <w:color w:val="auto"/>
          <w:kern w:val="0"/>
          <w:sz w:val="32"/>
          <w:szCs w:val="32"/>
          <w:highlight w:val="none"/>
        </w:rPr>
        <w:t xml:space="preserve">for wall materials used in </w:t>
      </w:r>
      <w:bookmarkStart w:id="20" w:name="_GoBack"/>
      <w:bookmarkEnd w:id="20"/>
      <w:r>
        <w:rPr>
          <w:color w:val="auto"/>
          <w:kern w:val="0"/>
          <w:sz w:val="32"/>
          <w:szCs w:val="32"/>
          <w:highlight w:val="none"/>
        </w:rPr>
        <w:t>buildings</w:t>
      </w:r>
    </w:p>
    <w:p w14:paraId="4126C2E2">
      <w:pPr>
        <w:spacing w:line="480" w:lineRule="auto"/>
        <w:jc w:val="center"/>
        <w:rPr>
          <w:rFonts w:ascii="Times New Roman" w:hAnsi="Times New Roman"/>
          <w:b/>
          <w:sz w:val="32"/>
          <w:szCs w:val="32"/>
        </w:rPr>
      </w:pPr>
      <w:r>
        <w:rPr>
          <w:rFonts w:ascii="Times New Roman" w:hAnsi="Times New Roman"/>
          <w:b/>
          <w:sz w:val="32"/>
          <w:szCs w:val="32"/>
        </w:rPr>
        <w:t>（202X年版）</w:t>
      </w:r>
    </w:p>
    <w:p w14:paraId="05D72F8B">
      <w:pPr>
        <w:snapToGrid w:val="0"/>
        <w:spacing w:line="360" w:lineRule="auto"/>
        <w:jc w:val="both"/>
        <w:rPr>
          <w:b/>
          <w:bCs/>
          <w:color w:val="auto"/>
          <w:sz w:val="44"/>
          <w:highlight w:val="none"/>
        </w:rPr>
      </w:pPr>
    </w:p>
    <w:p w14:paraId="15035E10">
      <w:pPr>
        <w:snapToGrid w:val="0"/>
        <w:spacing w:line="360" w:lineRule="auto"/>
        <w:jc w:val="center"/>
        <w:outlineLvl w:val="9"/>
        <w:rPr>
          <w:b/>
          <w:bCs/>
          <w:color w:val="auto"/>
          <w:sz w:val="32"/>
          <w:szCs w:val="32"/>
          <w:highlight w:val="none"/>
        </w:rPr>
      </w:pPr>
      <w:bookmarkStart w:id="1" w:name="_Toc9333"/>
      <w:r>
        <w:rPr>
          <w:b/>
          <w:bCs/>
          <w:color w:val="auto"/>
          <w:sz w:val="32"/>
          <w:szCs w:val="32"/>
          <w:highlight w:val="none"/>
        </w:rPr>
        <w:t>（</w:t>
      </w:r>
      <w:r>
        <w:rPr>
          <w:rFonts w:hint="eastAsia"/>
          <w:b/>
          <w:bCs/>
          <w:color w:val="auto"/>
          <w:sz w:val="32"/>
          <w:szCs w:val="32"/>
          <w:highlight w:val="none"/>
          <w:lang w:val="en-US" w:eastAsia="zh-CN"/>
        </w:rPr>
        <w:t>局部修订</w:t>
      </w:r>
      <w:r>
        <w:rPr>
          <w:b/>
          <w:bCs/>
          <w:color w:val="auto"/>
          <w:sz w:val="32"/>
          <w:szCs w:val="32"/>
          <w:highlight w:val="none"/>
        </w:rPr>
        <w:t>征求意见稿）</w:t>
      </w:r>
      <w:bookmarkEnd w:id="1"/>
    </w:p>
    <w:p w14:paraId="6BC7BC1A">
      <w:pPr>
        <w:snapToGrid w:val="0"/>
        <w:spacing w:line="360" w:lineRule="auto"/>
        <w:jc w:val="center"/>
        <w:outlineLvl w:val="9"/>
        <w:rPr>
          <w:b/>
          <w:bCs/>
          <w:color w:val="auto"/>
          <w:sz w:val="30"/>
          <w:highlight w:val="none"/>
        </w:rPr>
      </w:pPr>
    </w:p>
    <w:p w14:paraId="3D59A4DF">
      <w:pPr>
        <w:snapToGrid w:val="0"/>
        <w:spacing w:line="360" w:lineRule="auto"/>
        <w:jc w:val="center"/>
        <w:outlineLvl w:val="9"/>
        <w:rPr>
          <w:b/>
          <w:bCs/>
          <w:color w:val="auto"/>
          <w:sz w:val="30"/>
          <w:highlight w:val="none"/>
        </w:rPr>
      </w:pPr>
    </w:p>
    <w:p w14:paraId="7533FE5B">
      <w:pPr>
        <w:autoSpaceDE w:val="0"/>
        <w:autoSpaceDN w:val="0"/>
        <w:adjustRightInd w:val="0"/>
        <w:jc w:val="center"/>
        <w:rPr>
          <w:rFonts w:hint="eastAsia"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sz w:val="28"/>
          <w:szCs w:val="28"/>
          <w:lang w:val="en-US" w:eastAsia="zh-CN"/>
        </w:rPr>
        <w:t>在提交反馈意见时，请将您知道的相关专利连同支持性文件一并附上。</w:t>
      </w:r>
    </w:p>
    <w:p w14:paraId="16864500">
      <w:pPr>
        <w:snapToGrid w:val="0"/>
        <w:spacing w:line="360" w:lineRule="auto"/>
        <w:jc w:val="center"/>
        <w:outlineLvl w:val="9"/>
        <w:rPr>
          <w:b/>
          <w:bCs/>
          <w:color w:val="auto"/>
          <w:sz w:val="30"/>
          <w:highlight w:val="none"/>
        </w:rPr>
      </w:pPr>
    </w:p>
    <w:p w14:paraId="2F911F38">
      <w:pPr>
        <w:snapToGrid w:val="0"/>
        <w:spacing w:line="360" w:lineRule="auto"/>
        <w:outlineLvl w:val="9"/>
        <w:rPr>
          <w:b/>
          <w:bCs/>
          <w:color w:val="auto"/>
          <w:sz w:val="30"/>
          <w:highlight w:val="none"/>
        </w:rPr>
      </w:pPr>
    </w:p>
    <w:p w14:paraId="262638B7">
      <w:pPr>
        <w:snapToGrid w:val="0"/>
        <w:spacing w:line="360" w:lineRule="auto"/>
        <w:outlineLvl w:val="9"/>
        <w:rPr>
          <w:b/>
          <w:bCs/>
          <w:color w:val="auto"/>
          <w:sz w:val="30"/>
          <w:highlight w:val="none"/>
        </w:rPr>
      </w:pPr>
    </w:p>
    <w:p w14:paraId="63436D02">
      <w:pPr>
        <w:snapToGrid w:val="0"/>
        <w:spacing w:line="360" w:lineRule="auto"/>
        <w:outlineLvl w:val="9"/>
        <w:rPr>
          <w:rFonts w:hint="default" w:ascii="Times New Roman" w:hAnsi="Times New Roman" w:cs="Times New Roman"/>
          <w:b/>
          <w:bCs/>
          <w:color w:val="auto"/>
          <w:sz w:val="32"/>
          <w:szCs w:val="22"/>
          <w:highlight w:val="none"/>
          <w:u w:val="none"/>
        </w:rPr>
      </w:pPr>
      <w:r>
        <w:rPr>
          <w:rFonts w:hint="default" w:ascii="Times New Roman" w:hAnsi="Times New Roman" w:cs="Times New Roman"/>
          <w:b/>
          <w:bCs/>
          <w:color w:val="auto"/>
          <w:sz w:val="32"/>
          <w:szCs w:val="22"/>
          <w:highlight w:val="none"/>
          <w:u w:val="none"/>
        </w:rPr>
        <w:t>20</w:t>
      </w:r>
      <w:r>
        <w:rPr>
          <w:rFonts w:hint="default" w:ascii="Times New Roman" w:hAnsi="Times New Roman" w:cs="Times New Roman"/>
          <w:b/>
          <w:bCs/>
          <w:color w:val="auto"/>
          <w:sz w:val="32"/>
          <w:szCs w:val="22"/>
          <w:highlight w:val="none"/>
          <w:u w:val="none"/>
          <w:lang w:val="en-US" w:eastAsia="zh-CN"/>
        </w:rPr>
        <w:t>2</w:t>
      </w:r>
      <w:r>
        <w:rPr>
          <w:rFonts w:hint="default" w:ascii="Times New Roman" w:hAnsi="Times New Roman" w:cs="Times New Roman"/>
          <w:b/>
          <w:bCs/>
          <w:color w:val="auto"/>
          <w:sz w:val="32"/>
          <w:szCs w:val="22"/>
          <w:highlight w:val="none"/>
          <w:u w:val="none"/>
        </w:rPr>
        <w:t xml:space="preserve">X-XX-XX发布         </w:t>
      </w:r>
      <w:r>
        <w:rPr>
          <w:rFonts w:hint="default" w:ascii="Times New Roman" w:hAnsi="Times New Roman" w:cs="Times New Roman"/>
          <w:b/>
          <w:bCs/>
          <w:color w:val="auto"/>
          <w:sz w:val="32"/>
          <w:szCs w:val="22"/>
          <w:highlight w:val="none"/>
          <w:u w:val="none"/>
          <w:lang w:val="en-US" w:eastAsia="zh-CN"/>
        </w:rPr>
        <w:t xml:space="preserve">         </w:t>
      </w:r>
      <w:r>
        <w:rPr>
          <w:rFonts w:hint="default" w:ascii="Times New Roman" w:hAnsi="Times New Roman" w:cs="Times New Roman"/>
          <w:b/>
          <w:bCs/>
          <w:color w:val="auto"/>
          <w:sz w:val="32"/>
          <w:szCs w:val="22"/>
          <w:highlight w:val="none"/>
          <w:u w:val="none"/>
        </w:rPr>
        <w:t>20</w:t>
      </w:r>
      <w:r>
        <w:rPr>
          <w:rFonts w:hint="default" w:ascii="Times New Roman" w:hAnsi="Times New Roman" w:cs="Times New Roman"/>
          <w:b/>
          <w:bCs/>
          <w:color w:val="auto"/>
          <w:sz w:val="32"/>
          <w:szCs w:val="22"/>
          <w:highlight w:val="none"/>
          <w:u w:val="none"/>
          <w:lang w:val="en-US" w:eastAsia="zh-CN"/>
        </w:rPr>
        <w:t>2</w:t>
      </w:r>
      <w:r>
        <w:rPr>
          <w:rFonts w:hint="default" w:ascii="Times New Roman" w:hAnsi="Times New Roman" w:cs="Times New Roman"/>
          <w:b/>
          <w:bCs/>
          <w:color w:val="auto"/>
          <w:sz w:val="32"/>
          <w:szCs w:val="22"/>
          <w:highlight w:val="none"/>
          <w:u w:val="none"/>
        </w:rPr>
        <w:t>X-XX-XX  实施</w:t>
      </w:r>
    </w:p>
    <w:tbl>
      <w:tblPr>
        <w:tblStyle w:val="7"/>
        <w:tblW w:w="10208" w:type="dxa"/>
        <w:tblInd w:w="-240" w:type="dxa"/>
        <w:tblBorders>
          <w:top w:val="single" w:color="auto" w:sz="12" w:space="0"/>
          <w:left w:val="none" w:color="auto" w:sz="0" w:space="0"/>
          <w:bottom w:val="none" w:color="auto" w:sz="0" w:space="0"/>
          <w:right w:val="none" w:color="auto" w:sz="0" w:space="0"/>
          <w:insideH w:val="none" w:color="auto" w:sz="0" w:space="0"/>
          <w:insideV w:val="single" w:color="auto" w:sz="4" w:space="0"/>
        </w:tblBorders>
        <w:tblLayout w:type="autofit"/>
        <w:tblCellMar>
          <w:top w:w="0" w:type="dxa"/>
          <w:left w:w="108" w:type="dxa"/>
          <w:bottom w:w="0" w:type="dxa"/>
          <w:right w:w="108" w:type="dxa"/>
        </w:tblCellMar>
      </w:tblPr>
      <w:tblGrid>
        <w:gridCol w:w="10208"/>
      </w:tblGrid>
      <w:tr w14:paraId="2919EC7B">
        <w:tblPrEx>
          <w:tblBorders>
            <w:top w:val="single" w:color="auto" w:sz="12" w:space="0"/>
            <w:left w:val="none" w:color="auto" w:sz="0" w:space="0"/>
            <w:bottom w:val="none" w:color="auto" w:sz="0"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1195" w:hRule="atLeast"/>
        </w:trPr>
        <w:tc>
          <w:tcPr>
            <w:tcW w:w="10208" w:type="dxa"/>
            <w:noWrap w:val="0"/>
            <w:vAlign w:val="top"/>
          </w:tcPr>
          <w:p w14:paraId="6319BBE7">
            <w:pPr>
              <w:snapToGrid w:val="0"/>
              <w:spacing w:line="360" w:lineRule="auto"/>
              <w:jc w:val="center"/>
              <w:outlineLvl w:val="9"/>
              <w:rPr>
                <w:rFonts w:eastAsia="黑体"/>
                <w:color w:val="auto"/>
                <w:kern w:val="0"/>
                <w:sz w:val="16"/>
                <w:szCs w:val="16"/>
                <w:highlight w:val="none"/>
              </w:rPr>
            </w:pPr>
          </w:p>
          <w:p w14:paraId="5B3AF146">
            <w:pPr>
              <w:snapToGrid w:val="0"/>
              <w:spacing w:line="360" w:lineRule="auto"/>
              <w:jc w:val="center"/>
              <w:outlineLvl w:val="0"/>
              <w:rPr>
                <w:b/>
                <w:bCs/>
                <w:color w:val="auto"/>
                <w:sz w:val="30"/>
                <w:highlight w:val="none"/>
              </w:rPr>
            </w:pPr>
            <w:bookmarkStart w:id="2" w:name="_Toc9104"/>
            <w:r>
              <w:rPr>
                <w:rFonts w:ascii="Times New Roman" w:hAnsi="Times New Roman" w:eastAsia="宋体" w:cs="Times New Roman"/>
                <w:color w:val="000000"/>
                <w:highlight w:val="none"/>
              </w:rPr>
              <mc:AlternateContent>
                <mc:Choice Requires="wps">
                  <w:drawing>
                    <wp:anchor distT="0" distB="0" distL="114300" distR="114300" simplePos="0" relativeHeight="251662336" behindDoc="0" locked="0" layoutInCell="1" allowOverlap="1">
                      <wp:simplePos x="0" y="0"/>
                      <wp:positionH relativeFrom="column">
                        <wp:posOffset>-105410</wp:posOffset>
                      </wp:positionH>
                      <wp:positionV relativeFrom="paragraph">
                        <wp:posOffset>128905</wp:posOffset>
                      </wp:positionV>
                      <wp:extent cx="1200150" cy="39624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200150" cy="396240"/>
                              </a:xfrm>
                              <a:prstGeom prst="rect">
                                <a:avLst/>
                              </a:prstGeom>
                              <a:noFill/>
                              <a:ln>
                                <a:noFill/>
                              </a:ln>
                              <a:effectLst/>
                            </wps:spPr>
                            <wps:txbx>
                              <w:txbxContent>
                                <w:p w14:paraId="05F8FF55">
                                  <w:pPr>
                                    <w:ind w:firstLine="157" w:firstLineChars="49"/>
                                    <w:rPr>
                                      <w:rFonts w:ascii="Times New Roman" w:hAnsi="Times New Roman" w:eastAsia="宋体" w:cs="Times New Roman"/>
                                    </w:rPr>
                                  </w:pPr>
                                  <w:r>
                                    <w:rPr>
                                      <w:rFonts w:hint="eastAsia" w:ascii="Times New Roman" w:hAnsi="Times New Roman" w:eastAsia="宋体" w:cs="宋体"/>
                                      <w:b/>
                                      <w:bCs/>
                                      <w:sz w:val="32"/>
                                      <w:szCs w:val="32"/>
                                    </w:rPr>
                                    <w:t>联合发布</w:t>
                                  </w:r>
                                </w:p>
                              </w:txbxContent>
                            </wps:txbx>
                            <wps:bodyPr vert="horz" anchor="t" anchorCtr="0" upright="1"/>
                          </wps:wsp>
                        </a:graphicData>
                      </a:graphic>
                    </wp:anchor>
                  </w:drawing>
                </mc:Choice>
                <mc:Fallback>
                  <w:pict>
                    <v:shape id="_x0000_s1026" o:spid="_x0000_s1026" o:spt="202" type="#_x0000_t202" style="position:absolute;left:0pt;margin-left:-8.3pt;margin-top:10.15pt;height:31.2pt;width:94.5pt;z-index:251662336;mso-width-relative:page;mso-height-relative:page;" filled="f" stroked="f" coordsize="21600,21600" o:gfxdata="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CCvf061wAAAAkBAAAPAAAAAAAAAAEAIAAAACIAAABkcnMvZG93bnJl&#10;di54bWxQSwECFAAUAAAACACHTuJA7ub3UsUBAACDAwAADgAAAAAAAAABACAAAAAmAQAAZHJzL2Uy&#10;b0RvYy54bWxQSwUGAAAAAAYABgBZAQAAXQUAAAAA&#10;">
                      <v:fill on="f" focussize="0,0"/>
                      <v:stroke on="f"/>
                      <v:imagedata o:title=""/>
                      <o:lock v:ext="edit" aspectratio="f"/>
                      <v:textbox>
                        <w:txbxContent>
                          <w:p w14:paraId="05F8FF55">
                            <w:pPr>
                              <w:ind w:firstLine="157" w:firstLineChars="49"/>
                              <w:rPr>
                                <w:rFonts w:ascii="Times New Roman" w:hAnsi="Times New Roman" w:eastAsia="宋体" w:cs="Times New Roman"/>
                              </w:rPr>
                            </w:pPr>
                            <w:r>
                              <w:rPr>
                                <w:rFonts w:hint="eastAsia" w:ascii="Times New Roman" w:hAnsi="Times New Roman" w:eastAsia="宋体" w:cs="宋体"/>
                                <w:b/>
                                <w:bCs/>
                                <w:sz w:val="32"/>
                                <w:szCs w:val="32"/>
                              </w:rPr>
                              <w:t>联合发布</w:t>
                            </w:r>
                          </w:p>
                        </w:txbxContent>
                      </v:textbox>
                    </v:shape>
                  </w:pict>
                </mc:Fallback>
              </mc:AlternateContent>
            </w:r>
            <w:r>
              <w:rPr>
                <w:rFonts w:ascii="Times New Roman" w:hAnsi="Times New Roman" w:eastAsia="宋体" w:cs="Times New Roman"/>
                <w:color w:val="000000"/>
                <w:highlight w:val="none"/>
              </w:rPr>
              <mc:AlternateContent>
                <mc:Choice Requires="wps">
                  <w:drawing>
                    <wp:anchor distT="0" distB="0" distL="114300" distR="114300" simplePos="0" relativeHeight="251661312" behindDoc="0" locked="0" layoutInCell="1" allowOverlap="1">
                      <wp:simplePos x="0" y="0"/>
                      <wp:positionH relativeFrom="column">
                        <wp:posOffset>-116205</wp:posOffset>
                      </wp:positionH>
                      <wp:positionV relativeFrom="paragraph">
                        <wp:posOffset>20955</wp:posOffset>
                      </wp:positionV>
                      <wp:extent cx="4457700" cy="707390"/>
                      <wp:effectExtent l="0" t="0" r="0" b="16510"/>
                      <wp:wrapSquare wrapText="bothSides"/>
                      <wp:docPr id="33" name="文本框 33"/>
                      <wp:cNvGraphicFramePr/>
                      <a:graphic xmlns:a="http://schemas.openxmlformats.org/drawingml/2006/main">
                        <a:graphicData uri="http://schemas.microsoft.com/office/word/2010/wordprocessingShape">
                          <wps:wsp>
                            <wps:cNvSpPr txBox="1"/>
                            <wps:spPr>
                              <a:xfrm>
                                <a:off x="0" y="0"/>
                                <a:ext cx="4457700" cy="707390"/>
                              </a:xfrm>
                              <a:prstGeom prst="rect">
                                <a:avLst/>
                              </a:prstGeom>
                              <a:solidFill>
                                <a:srgbClr val="FFFFFF"/>
                              </a:solidFill>
                              <a:ln>
                                <a:noFill/>
                              </a:ln>
                              <a:effectLst/>
                            </wps:spPr>
                            <wps:txbx>
                              <w:txbxContent>
                                <w:p w14:paraId="4B318579">
                                  <w:pPr>
                                    <w:adjustRightInd w:val="0"/>
                                    <w:snapToGrid w:val="0"/>
                                    <w:spacing w:line="240" w:lineRule="atLeast"/>
                                    <w:ind w:firstLine="157" w:firstLineChars="49"/>
                                    <w:jc w:val="distribute"/>
                                    <w:rPr>
                                      <w:rFonts w:ascii="Times New Roman" w:hAnsi="Times New Roman" w:eastAsia="宋体" w:cs="Times New Roman"/>
                                      <w:b/>
                                      <w:bCs/>
                                      <w:sz w:val="32"/>
                                      <w:szCs w:val="32"/>
                                    </w:rPr>
                                  </w:pPr>
                                  <w:r>
                                    <w:rPr>
                                      <w:rFonts w:hint="eastAsia" w:ascii="Times New Roman" w:hAnsi="Times New Roman" w:eastAsia="宋体" w:cs="宋体"/>
                                      <w:b/>
                                      <w:bCs/>
                                      <w:sz w:val="32"/>
                                      <w:szCs w:val="32"/>
                                    </w:rPr>
                                    <w:t>中华人民共和国住房和城乡建设部</w:t>
                                  </w:r>
                                </w:p>
                                <w:p w14:paraId="1A189897">
                                  <w:pPr>
                                    <w:ind w:firstLine="157" w:firstLineChars="49"/>
                                    <w:jc w:val="distribute"/>
                                    <w:rPr>
                                      <w:rFonts w:ascii="Times New Roman" w:hAnsi="Times New Roman" w:eastAsia="宋体" w:cs="Times New Roman"/>
                                      <w:b/>
                                      <w:bCs/>
                                      <w:sz w:val="32"/>
                                      <w:szCs w:val="32"/>
                                    </w:rPr>
                                  </w:pPr>
                                  <w:r>
                                    <w:rPr>
                                      <w:rFonts w:hint="eastAsia" w:ascii="Times New Roman" w:hAnsi="Times New Roman" w:eastAsia="宋体" w:cs="宋体"/>
                                      <w:b/>
                                      <w:bCs/>
                                      <w:sz w:val="32"/>
                                      <w:szCs w:val="32"/>
                                    </w:rPr>
                                    <w:t>国家</w:t>
                                  </w:r>
                                  <w:r>
                                    <w:rPr>
                                      <w:rFonts w:hint="eastAsia" w:cs="宋体"/>
                                      <w:b/>
                                      <w:bCs/>
                                      <w:sz w:val="32"/>
                                      <w:szCs w:val="32"/>
                                      <w:lang w:val="en-US" w:eastAsia="zh-CN"/>
                                    </w:rPr>
                                    <w:t>市场</w:t>
                                  </w:r>
                                  <w:r>
                                    <w:rPr>
                                      <w:rFonts w:hint="eastAsia" w:ascii="Times New Roman" w:hAnsi="Times New Roman" w:eastAsia="宋体" w:cs="宋体"/>
                                      <w:b/>
                                      <w:bCs/>
                                      <w:sz w:val="32"/>
                                      <w:szCs w:val="32"/>
                                    </w:rPr>
                                    <w:t>监督</w:t>
                                  </w:r>
                                  <w:r>
                                    <w:rPr>
                                      <w:rFonts w:hint="eastAsia" w:cs="宋体"/>
                                      <w:b/>
                                      <w:bCs/>
                                      <w:sz w:val="32"/>
                                      <w:szCs w:val="32"/>
                                      <w:lang w:val="en-US" w:eastAsia="zh-CN"/>
                                    </w:rPr>
                                    <w:t>管理</w:t>
                                  </w:r>
                                  <w:r>
                                    <w:rPr>
                                      <w:rFonts w:hint="eastAsia" w:ascii="Times New Roman" w:hAnsi="Times New Roman" w:eastAsia="宋体" w:cs="宋体"/>
                                      <w:b/>
                                      <w:bCs/>
                                      <w:sz w:val="32"/>
                                      <w:szCs w:val="32"/>
                                    </w:rPr>
                                    <w:t>总局</w:t>
                                  </w:r>
                                </w:p>
                              </w:txbxContent>
                            </wps:txbx>
                            <wps:bodyPr vert="horz" anchor="t" anchorCtr="0" upright="1"/>
                          </wps:wsp>
                        </a:graphicData>
                      </a:graphic>
                    </wp:anchor>
                  </w:drawing>
                </mc:Choice>
                <mc:Fallback>
                  <w:pict>
                    <v:shape id="_x0000_s1026" o:spid="_x0000_s1026" o:spt="202" type="#_x0000_t202" style="position:absolute;left:0pt;margin-left:-9.15pt;margin-top:1.65pt;height:55.7pt;width:351pt;mso-wrap-distance-bottom:0pt;mso-wrap-distance-left:9pt;mso-wrap-distance-right:9pt;mso-wrap-distance-top:0pt;z-index:251661312;mso-width-relative:page;mso-height-relative:page;" fillcolor="#FFFFFF" filled="t" stroked="f" coordsize="21600,21600" o:gfxdata="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BQ5PaS1wAAAAkBAAAPAAAA&#10;AAAAAAEAIAAAACIAAABkcnMvZG93bnJldi54bWxQSwECFAAUAAAACACHTuJAad51Xt0BAACsAwAA&#10;DgAAAAAAAAABACAAAAAmAQAAZHJzL2Uyb0RvYy54bWxQSwUGAAAAAAYABgBZAQAAdQUAAAAA&#10;">
                      <v:fill on="t" focussize="0,0"/>
                      <v:stroke on="f"/>
                      <v:imagedata o:title=""/>
                      <o:lock v:ext="edit" aspectratio="f"/>
                      <v:textbox>
                        <w:txbxContent>
                          <w:p w14:paraId="4B318579">
                            <w:pPr>
                              <w:adjustRightInd w:val="0"/>
                              <w:snapToGrid w:val="0"/>
                              <w:spacing w:line="240" w:lineRule="atLeast"/>
                              <w:ind w:firstLine="157" w:firstLineChars="49"/>
                              <w:jc w:val="distribute"/>
                              <w:rPr>
                                <w:rFonts w:ascii="Times New Roman" w:hAnsi="Times New Roman" w:eastAsia="宋体" w:cs="Times New Roman"/>
                                <w:b/>
                                <w:bCs/>
                                <w:sz w:val="32"/>
                                <w:szCs w:val="32"/>
                              </w:rPr>
                            </w:pPr>
                            <w:r>
                              <w:rPr>
                                <w:rFonts w:hint="eastAsia" w:ascii="Times New Roman" w:hAnsi="Times New Roman" w:eastAsia="宋体" w:cs="宋体"/>
                                <w:b/>
                                <w:bCs/>
                                <w:sz w:val="32"/>
                                <w:szCs w:val="32"/>
                              </w:rPr>
                              <w:t>中华人民共和国住房和城乡建设部</w:t>
                            </w:r>
                          </w:p>
                          <w:p w14:paraId="1A189897">
                            <w:pPr>
                              <w:ind w:firstLine="157" w:firstLineChars="49"/>
                              <w:jc w:val="distribute"/>
                              <w:rPr>
                                <w:rFonts w:ascii="Times New Roman" w:hAnsi="Times New Roman" w:eastAsia="宋体" w:cs="Times New Roman"/>
                                <w:b/>
                                <w:bCs/>
                                <w:sz w:val="32"/>
                                <w:szCs w:val="32"/>
                              </w:rPr>
                            </w:pPr>
                            <w:r>
                              <w:rPr>
                                <w:rFonts w:hint="eastAsia" w:ascii="Times New Roman" w:hAnsi="Times New Roman" w:eastAsia="宋体" w:cs="宋体"/>
                                <w:b/>
                                <w:bCs/>
                                <w:sz w:val="32"/>
                                <w:szCs w:val="32"/>
                              </w:rPr>
                              <w:t>国家</w:t>
                            </w:r>
                            <w:r>
                              <w:rPr>
                                <w:rFonts w:hint="eastAsia" w:cs="宋体"/>
                                <w:b/>
                                <w:bCs/>
                                <w:sz w:val="32"/>
                                <w:szCs w:val="32"/>
                                <w:lang w:val="en-US" w:eastAsia="zh-CN"/>
                              </w:rPr>
                              <w:t>市场</w:t>
                            </w:r>
                            <w:r>
                              <w:rPr>
                                <w:rFonts w:hint="eastAsia" w:ascii="Times New Roman" w:hAnsi="Times New Roman" w:eastAsia="宋体" w:cs="宋体"/>
                                <w:b/>
                                <w:bCs/>
                                <w:sz w:val="32"/>
                                <w:szCs w:val="32"/>
                              </w:rPr>
                              <w:t>监督</w:t>
                            </w:r>
                            <w:r>
                              <w:rPr>
                                <w:rFonts w:hint="eastAsia" w:cs="宋体"/>
                                <w:b/>
                                <w:bCs/>
                                <w:sz w:val="32"/>
                                <w:szCs w:val="32"/>
                                <w:lang w:val="en-US" w:eastAsia="zh-CN"/>
                              </w:rPr>
                              <w:t>管理</w:t>
                            </w:r>
                            <w:r>
                              <w:rPr>
                                <w:rFonts w:hint="eastAsia" w:ascii="Times New Roman" w:hAnsi="Times New Roman" w:eastAsia="宋体" w:cs="宋体"/>
                                <w:b/>
                                <w:bCs/>
                                <w:sz w:val="32"/>
                                <w:szCs w:val="32"/>
                              </w:rPr>
                              <w:t>总局</w:t>
                            </w:r>
                          </w:p>
                        </w:txbxContent>
                      </v:textbox>
                      <w10:wrap type="square"/>
                    </v:shape>
                  </w:pict>
                </mc:Fallback>
              </mc:AlternateContent>
            </w:r>
            <w:bookmarkEnd w:id="2"/>
          </w:p>
        </w:tc>
      </w:tr>
    </w:tbl>
    <w:p w14:paraId="66825074">
      <w:pPr>
        <w:spacing w:line="360" w:lineRule="auto"/>
        <w:jc w:val="center"/>
        <w:rPr>
          <w:rFonts w:ascii="Times New Roman" w:hAnsi="Times New Roman"/>
          <w:b/>
          <w:bCs/>
          <w:sz w:val="32"/>
          <w:szCs w:val="32"/>
        </w:rPr>
        <w:sectPr>
          <w:pgSz w:w="11906" w:h="16838"/>
          <w:pgMar w:top="1440" w:right="1800" w:bottom="1440" w:left="1800" w:header="851" w:footer="992" w:gutter="0"/>
          <w:cols w:space="425" w:num="1"/>
          <w:docGrid w:type="lines" w:linePitch="312" w:charSpace="0"/>
        </w:sectPr>
      </w:pPr>
    </w:p>
    <w:p w14:paraId="15163757">
      <w:pPr>
        <w:spacing w:line="360" w:lineRule="auto"/>
        <w:jc w:val="center"/>
        <w:rPr>
          <w:rFonts w:hint="default" w:ascii="Times New Roman" w:hAnsi="Times New Roman" w:eastAsia="宋体"/>
          <w:b/>
          <w:bCs/>
          <w:sz w:val="32"/>
          <w:szCs w:val="32"/>
          <w:lang w:val="en-US" w:eastAsia="zh-CN"/>
        </w:rPr>
      </w:pPr>
      <w:r>
        <w:rPr>
          <w:rFonts w:ascii="Times New Roman" w:hAnsi="Times New Roman"/>
          <w:b/>
          <w:bCs/>
          <w:sz w:val="32"/>
          <w:szCs w:val="32"/>
        </w:rPr>
        <w:t>《</w:t>
      </w:r>
      <w:r>
        <w:rPr>
          <w:rFonts w:hint="eastAsia"/>
          <w:b/>
          <w:bCs/>
          <w:sz w:val="32"/>
          <w:szCs w:val="32"/>
          <w:lang w:val="en-US" w:eastAsia="zh-CN"/>
        </w:rPr>
        <w:t>墙体材料应用统一技术标准</w:t>
      </w:r>
      <w:r>
        <w:rPr>
          <w:rFonts w:ascii="Times New Roman" w:hAnsi="Times New Roman"/>
          <w:b/>
          <w:bCs/>
          <w:sz w:val="32"/>
          <w:szCs w:val="32"/>
        </w:rPr>
        <w:t>》</w:t>
      </w:r>
      <w:r>
        <w:rPr>
          <w:rFonts w:hint="eastAsia"/>
          <w:b/>
          <w:bCs/>
          <w:sz w:val="32"/>
          <w:szCs w:val="32"/>
          <w:lang w:val="en-US" w:eastAsia="zh-CN"/>
        </w:rPr>
        <w:t>GB/T 50574-2010</w:t>
      </w:r>
    </w:p>
    <w:p w14:paraId="54F465F0">
      <w:pPr>
        <w:spacing w:before="120" w:beforeLines="50" w:after="120" w:afterLines="50"/>
        <w:jc w:val="center"/>
        <w:rPr>
          <w:b/>
          <w:sz w:val="32"/>
          <w:szCs w:val="32"/>
        </w:rPr>
      </w:pPr>
      <w:r>
        <w:rPr>
          <w:b/>
          <w:sz w:val="32"/>
          <w:szCs w:val="32"/>
        </w:rPr>
        <w:t>局部修订条文对照表</w:t>
      </w:r>
    </w:p>
    <w:p w14:paraId="2E937E82">
      <w:pPr>
        <w:spacing w:line="360" w:lineRule="auto"/>
        <w:jc w:val="center"/>
        <w:rPr>
          <w:rFonts w:ascii="Times New Roman" w:hAnsi="Times New Roman"/>
          <w:b/>
          <w:bCs/>
          <w:szCs w:val="21"/>
        </w:rPr>
      </w:pPr>
      <w:r>
        <w:rPr>
          <w:rFonts w:ascii="Times New Roman" w:hAnsi="Times New Roman"/>
          <w:b/>
          <w:bCs/>
          <w:szCs w:val="21"/>
        </w:rPr>
        <w:t>（方框部分为删除内容，下划线部分为增加内容）</w:t>
      </w:r>
    </w:p>
    <w:tbl>
      <w:tblPr>
        <w:tblStyle w:val="7"/>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223"/>
        <w:gridCol w:w="4299"/>
      </w:tblGrid>
      <w:tr w14:paraId="56E3FB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686" w:type="dxa"/>
          </w:tcPr>
          <w:p w14:paraId="6A000348">
            <w:pPr>
              <w:spacing w:before="120" w:beforeLines="50" w:after="120" w:afterLines="50"/>
              <w:jc w:val="center"/>
              <w:rPr>
                <w:rFonts w:ascii="Times New Roman" w:hAnsi="Times New Roman"/>
                <w:b/>
                <w:bCs/>
                <w:szCs w:val="21"/>
              </w:rPr>
            </w:pPr>
            <w:r>
              <w:rPr>
                <w:rFonts w:ascii="Times New Roman" w:hAnsi="Times New Roman"/>
                <w:b/>
                <w:bCs/>
                <w:szCs w:val="21"/>
              </w:rPr>
              <w:t>现行《标准》条文</w:t>
            </w:r>
          </w:p>
        </w:tc>
        <w:tc>
          <w:tcPr>
            <w:tcW w:w="4716" w:type="dxa"/>
          </w:tcPr>
          <w:p w14:paraId="3D538E74">
            <w:pPr>
              <w:spacing w:before="120" w:beforeLines="50" w:after="120" w:afterLines="50"/>
              <w:jc w:val="center"/>
              <w:rPr>
                <w:rFonts w:ascii="Times New Roman" w:hAnsi="Times New Roman"/>
                <w:b/>
                <w:bCs/>
                <w:szCs w:val="21"/>
              </w:rPr>
            </w:pPr>
            <w:r>
              <w:rPr>
                <w:rFonts w:ascii="Times New Roman" w:hAnsi="Times New Roman"/>
                <w:b/>
                <w:bCs/>
                <w:szCs w:val="21"/>
              </w:rPr>
              <w:t>局部修订征求意见稿</w:t>
            </w:r>
          </w:p>
        </w:tc>
      </w:tr>
      <w:tr w14:paraId="69FB21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686" w:type="dxa"/>
          </w:tcPr>
          <w:p w14:paraId="63C4ECF4">
            <w:pPr>
              <w:spacing w:before="120" w:beforeLines="50" w:after="120" w:afterLines="50"/>
              <w:jc w:val="center"/>
              <w:rPr>
                <w:rFonts w:ascii="Times New Roman" w:hAnsi="Times New Roman"/>
                <w:b/>
                <w:bCs/>
                <w:szCs w:val="21"/>
              </w:rPr>
            </w:pPr>
            <w:r>
              <w:rPr>
                <w:rFonts w:hint="eastAsia"/>
                <w:b/>
                <w:bCs/>
                <w:szCs w:val="21"/>
                <w:lang w:val="en-US" w:eastAsia="zh-CN"/>
              </w:rPr>
              <w:t>2 术语和符号</w:t>
            </w:r>
          </w:p>
        </w:tc>
        <w:tc>
          <w:tcPr>
            <w:tcW w:w="4716" w:type="dxa"/>
          </w:tcPr>
          <w:p w14:paraId="6299B8FB">
            <w:pPr>
              <w:spacing w:before="120" w:beforeLines="50" w:after="120" w:afterLines="50"/>
              <w:jc w:val="center"/>
              <w:rPr>
                <w:rFonts w:hint="default" w:ascii="Times New Roman" w:hAnsi="Times New Roman" w:eastAsia="宋体"/>
                <w:b/>
                <w:bCs/>
                <w:szCs w:val="21"/>
                <w:lang w:val="en-US" w:eastAsia="zh-CN"/>
              </w:rPr>
            </w:pPr>
            <w:r>
              <w:rPr>
                <w:rFonts w:hint="eastAsia"/>
                <w:b/>
                <w:bCs/>
                <w:szCs w:val="21"/>
                <w:lang w:val="en-US" w:eastAsia="zh-CN"/>
              </w:rPr>
              <w:t>2 术语合符号</w:t>
            </w:r>
          </w:p>
        </w:tc>
      </w:tr>
      <w:tr w14:paraId="29FD26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686" w:type="dxa"/>
            <w:vAlign w:val="top"/>
          </w:tcPr>
          <w:p w14:paraId="36EEFE89">
            <w:pPr>
              <w:keepNext w:val="0"/>
              <w:keepLines w:val="0"/>
              <w:pageBreakBefore w:val="0"/>
              <w:widowControl w:val="0"/>
              <w:tabs>
                <w:tab w:val="left" w:pos="420"/>
                <w:tab w:val="left" w:pos="851"/>
              </w:tabs>
              <w:kinsoku/>
              <w:wordWrap/>
              <w:overflowPunct/>
              <w:topLinePunct w:val="0"/>
              <w:autoSpaceDE/>
              <w:autoSpaceDN/>
              <w:bidi w:val="0"/>
              <w:adjustRightInd/>
              <w:snapToGrid w:val="0"/>
              <w:spacing w:line="360" w:lineRule="auto"/>
              <w:jc w:val="both"/>
              <w:textAlignment w:val="auto"/>
              <w:rPr>
                <w:rFonts w:hint="eastAsia" w:ascii="Times New Roman" w:hAnsi="Times New Roman"/>
                <w:b w:val="0"/>
                <w:bCs w:val="0"/>
                <w:szCs w:val="21"/>
              </w:rPr>
            </w:pPr>
            <w:r>
              <w:rPr>
                <w:rFonts w:hint="eastAsia"/>
                <w:b/>
                <w:color w:val="auto"/>
                <w:highlight w:val="none"/>
              </w:rPr>
              <w:t xml:space="preserve">2.1.1  </w:t>
            </w:r>
            <w:r>
              <w:rPr>
                <w:rFonts w:hint="eastAsia"/>
                <w:color w:val="auto"/>
                <w:highlight w:val="none"/>
              </w:rPr>
              <w:t xml:space="preserve">承重墙体 </w:t>
            </w:r>
            <w:r>
              <w:rPr>
                <w:rFonts w:hint="eastAsia" w:ascii="Times New Roman" w:hAnsi="Times New Roman"/>
                <w:b/>
                <w:bCs/>
                <w:szCs w:val="21"/>
              </w:rPr>
              <w:t xml:space="preserve">   </w:t>
            </w:r>
            <w:r>
              <w:rPr>
                <w:rFonts w:hint="eastAsia" w:ascii="Times New Roman" w:hAnsi="Times New Roman"/>
                <w:b w:val="0"/>
                <w:bCs w:val="0"/>
                <w:szCs w:val="21"/>
              </w:rPr>
              <w:t>load bearing wall</w:t>
            </w:r>
          </w:p>
          <w:p w14:paraId="52B4EFC6">
            <w:pPr>
              <w:keepNext w:val="0"/>
              <w:keepLines w:val="0"/>
              <w:pageBreakBefore w:val="0"/>
              <w:widowControl w:val="0"/>
              <w:tabs>
                <w:tab w:val="left" w:pos="420"/>
                <w:tab w:val="left" w:pos="851"/>
              </w:tabs>
              <w:kinsoku/>
              <w:wordWrap/>
              <w:overflowPunct/>
              <w:topLinePunct w:val="0"/>
              <w:autoSpaceDE/>
              <w:autoSpaceDN/>
              <w:bidi w:val="0"/>
              <w:adjustRightInd/>
              <w:snapToGrid w:val="0"/>
              <w:spacing w:line="360" w:lineRule="auto"/>
              <w:ind w:firstLine="420" w:firstLineChars="200"/>
              <w:jc w:val="both"/>
              <w:textAlignment w:val="auto"/>
              <w:rPr>
                <w:rFonts w:ascii="Times New Roman" w:hAnsi="Times New Roman"/>
                <w:b/>
                <w:bCs/>
                <w:szCs w:val="21"/>
              </w:rPr>
            </w:pPr>
            <w:r>
              <w:rPr>
                <w:rFonts w:hint="eastAsia"/>
                <w:color w:val="auto"/>
                <w:highlight w:val="none"/>
              </w:rPr>
              <w:t>承担各种作用并可兼做围护结构的墙体。</w:t>
            </w:r>
          </w:p>
        </w:tc>
        <w:tc>
          <w:tcPr>
            <w:tcW w:w="4716" w:type="dxa"/>
          </w:tcPr>
          <w:p w14:paraId="0AF7779E">
            <w:pPr>
              <w:keepNext w:val="0"/>
              <w:keepLines w:val="0"/>
              <w:pageBreakBefore w:val="0"/>
              <w:widowControl w:val="0"/>
              <w:kinsoku/>
              <w:wordWrap/>
              <w:overflowPunct/>
              <w:topLinePunct w:val="0"/>
              <w:autoSpaceDE/>
              <w:autoSpaceDN/>
              <w:bidi w:val="0"/>
              <w:adjustRightInd/>
              <w:snapToGrid w:val="0"/>
              <w:spacing w:line="360" w:lineRule="auto"/>
              <w:textAlignment w:val="auto"/>
              <w:outlineLvl w:val="9"/>
              <w:rPr>
                <w:bCs/>
                <w:color w:val="auto"/>
                <w:highlight w:val="none"/>
              </w:rPr>
            </w:pPr>
            <w:bookmarkStart w:id="3" w:name="_Toc12927"/>
            <w:r>
              <w:rPr>
                <w:b/>
                <w:color w:val="auto"/>
                <w:highlight w:val="none"/>
              </w:rPr>
              <w:t xml:space="preserve">2.1.1  </w:t>
            </w:r>
            <w:r>
              <w:rPr>
                <w:color w:val="auto"/>
                <w:highlight w:val="none"/>
              </w:rPr>
              <w:t>承重墙</w:t>
            </w:r>
            <w:r>
              <w:rPr>
                <w:color w:val="auto"/>
                <w:highlight w:val="none"/>
                <w:bdr w:val="single" w:color="000000" w:sz="4" w:space="0"/>
              </w:rPr>
              <w:t>体</w:t>
            </w:r>
            <w:r>
              <w:rPr>
                <w:color w:val="auto"/>
                <w:highlight w:val="none"/>
              </w:rPr>
              <w:t xml:space="preserve">    </w:t>
            </w:r>
            <w:r>
              <w:rPr>
                <w:b w:val="0"/>
                <w:bCs/>
                <w:color w:val="auto"/>
                <w:highlight w:val="none"/>
              </w:rPr>
              <w:t>load bearing wall</w:t>
            </w:r>
            <w:bookmarkEnd w:id="3"/>
          </w:p>
          <w:p w14:paraId="43CC2CC1">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outlineLvl w:val="9"/>
              <w:rPr>
                <w:rFonts w:ascii="Times New Roman" w:hAnsi="Times New Roman"/>
                <w:bCs/>
                <w:szCs w:val="21"/>
              </w:rPr>
            </w:pPr>
            <w:r>
              <w:rPr>
                <w:color w:val="auto"/>
                <w:highlight w:val="none"/>
                <w:bdr w:val="single" w:color="000000" w:sz="4" w:space="0"/>
              </w:rPr>
              <w:t>承担各种作用并可兼做围护结构的墙体</w:t>
            </w:r>
            <w:r>
              <w:rPr>
                <w:rFonts w:hint="eastAsia"/>
                <w:color w:val="auto"/>
                <w:highlight w:val="none"/>
                <w:u w:val="single"/>
              </w:rPr>
              <w:t>承受自重、楼（屋）盖竖向荷载及风、地震等作用的墙体</w:t>
            </w:r>
            <w:r>
              <w:rPr>
                <w:color w:val="auto"/>
                <w:highlight w:val="none"/>
              </w:rPr>
              <w:t>。</w:t>
            </w:r>
          </w:p>
        </w:tc>
      </w:tr>
      <w:tr w14:paraId="39D747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686" w:type="dxa"/>
            <w:vAlign w:val="top"/>
          </w:tcPr>
          <w:p w14:paraId="55707346">
            <w:pPr>
              <w:keepNext w:val="0"/>
              <w:keepLines w:val="0"/>
              <w:pageBreakBefore w:val="0"/>
              <w:widowControl w:val="0"/>
              <w:tabs>
                <w:tab w:val="left" w:pos="420"/>
                <w:tab w:val="left" w:pos="851"/>
              </w:tabs>
              <w:kinsoku/>
              <w:wordWrap/>
              <w:overflowPunct/>
              <w:topLinePunct w:val="0"/>
              <w:autoSpaceDE/>
              <w:autoSpaceDN/>
              <w:bidi w:val="0"/>
              <w:adjustRightInd/>
              <w:snapToGrid w:val="0"/>
              <w:spacing w:line="360" w:lineRule="auto"/>
              <w:jc w:val="both"/>
              <w:textAlignment w:val="auto"/>
              <w:rPr>
                <w:rFonts w:hint="eastAsia" w:ascii="Times New Roman" w:hAnsi="Times New Roman"/>
                <w:szCs w:val="21"/>
              </w:rPr>
            </w:pPr>
            <w:r>
              <w:rPr>
                <w:rFonts w:hint="eastAsia"/>
                <w:b/>
                <w:color w:val="auto"/>
                <w:highlight w:val="none"/>
              </w:rPr>
              <w:t xml:space="preserve">2.1.2 </w:t>
            </w:r>
            <w:r>
              <w:rPr>
                <w:rFonts w:hint="eastAsia" w:ascii="Times New Roman" w:hAnsi="Times New Roman"/>
                <w:szCs w:val="21"/>
              </w:rPr>
              <w:t xml:space="preserve"> </w:t>
            </w:r>
            <w:r>
              <w:rPr>
                <w:rFonts w:hint="eastAsia"/>
                <w:color w:val="auto"/>
                <w:highlight w:val="none"/>
              </w:rPr>
              <w:t xml:space="preserve">自承重墙体 </w:t>
            </w:r>
            <w:r>
              <w:rPr>
                <w:rFonts w:hint="eastAsia" w:ascii="Times New Roman" w:hAnsi="Times New Roman"/>
                <w:szCs w:val="21"/>
              </w:rPr>
              <w:t xml:space="preserve">    non load bearing wall</w:t>
            </w:r>
          </w:p>
          <w:p w14:paraId="2B5BC078">
            <w:pPr>
              <w:keepNext w:val="0"/>
              <w:keepLines w:val="0"/>
              <w:pageBreakBefore w:val="0"/>
              <w:widowControl w:val="0"/>
              <w:tabs>
                <w:tab w:val="left" w:pos="420"/>
                <w:tab w:val="left" w:pos="851"/>
              </w:tabs>
              <w:kinsoku/>
              <w:wordWrap/>
              <w:overflowPunct/>
              <w:topLinePunct w:val="0"/>
              <w:autoSpaceDE/>
              <w:autoSpaceDN/>
              <w:bidi w:val="0"/>
              <w:adjustRightInd/>
              <w:snapToGrid w:val="0"/>
              <w:spacing w:line="360" w:lineRule="auto"/>
              <w:ind w:firstLine="420" w:firstLineChars="200"/>
              <w:jc w:val="both"/>
              <w:textAlignment w:val="auto"/>
              <w:rPr>
                <w:rFonts w:ascii="Times New Roman" w:hAnsi="Times New Roman"/>
                <w:szCs w:val="21"/>
              </w:rPr>
            </w:pPr>
            <w:r>
              <w:rPr>
                <w:rFonts w:hint="eastAsia"/>
                <w:color w:val="auto"/>
                <w:highlight w:val="none"/>
              </w:rPr>
              <w:t>承担自身重力作用并可兼做围护结构的墙体。</w:t>
            </w:r>
          </w:p>
        </w:tc>
        <w:tc>
          <w:tcPr>
            <w:tcW w:w="4716" w:type="dxa"/>
            <w:vAlign w:val="center"/>
          </w:tcPr>
          <w:p w14:paraId="353E8973">
            <w:pPr>
              <w:keepNext w:val="0"/>
              <w:keepLines w:val="0"/>
              <w:pageBreakBefore w:val="0"/>
              <w:widowControl w:val="0"/>
              <w:kinsoku/>
              <w:wordWrap/>
              <w:overflowPunct/>
              <w:topLinePunct w:val="0"/>
              <w:autoSpaceDE/>
              <w:autoSpaceDN/>
              <w:bidi w:val="0"/>
              <w:adjustRightInd/>
              <w:snapToGrid w:val="0"/>
              <w:spacing w:line="360" w:lineRule="auto"/>
              <w:textAlignment w:val="auto"/>
              <w:outlineLvl w:val="9"/>
              <w:rPr>
                <w:bCs/>
                <w:color w:val="auto"/>
                <w:highlight w:val="yellow"/>
              </w:rPr>
            </w:pPr>
            <w:bookmarkStart w:id="4" w:name="_Toc32281"/>
            <w:r>
              <w:rPr>
                <w:b/>
                <w:color w:val="auto"/>
                <w:highlight w:val="none"/>
              </w:rPr>
              <w:t xml:space="preserve">2.1.2  </w:t>
            </w:r>
            <w:r>
              <w:rPr>
                <w:color w:val="auto"/>
                <w:highlight w:val="none"/>
              </w:rPr>
              <w:t>自承重墙</w:t>
            </w:r>
            <w:r>
              <w:rPr>
                <w:color w:val="auto"/>
                <w:highlight w:val="none"/>
                <w:bdr w:val="single" w:color="000000" w:sz="4" w:space="0"/>
              </w:rPr>
              <w:t>体</w:t>
            </w:r>
            <w:r>
              <w:rPr>
                <w:color w:val="auto"/>
                <w:highlight w:val="none"/>
              </w:rPr>
              <w:t xml:space="preserve">    </w:t>
            </w:r>
            <w:r>
              <w:rPr>
                <w:b/>
                <w:color w:val="auto"/>
                <w:highlight w:val="none"/>
                <w:bdr w:val="single" w:color="000000" w:sz="4" w:space="0"/>
              </w:rPr>
              <w:t xml:space="preserve"> </w:t>
            </w:r>
            <w:r>
              <w:rPr>
                <w:b w:val="0"/>
                <w:bCs/>
                <w:color w:val="auto"/>
                <w:highlight w:val="none"/>
                <w:bdr w:val="single" w:color="000000" w:sz="4" w:space="0"/>
              </w:rPr>
              <w:t>non load bearing</w:t>
            </w:r>
            <w:r>
              <w:rPr>
                <w:rFonts w:hint="eastAsia"/>
                <w:b/>
                <w:color w:val="auto"/>
                <w:highlight w:val="none"/>
              </w:rPr>
              <w:t xml:space="preserve"> </w:t>
            </w:r>
            <w:r>
              <w:rPr>
                <w:rFonts w:hint="eastAsia"/>
                <w:b w:val="0"/>
                <w:bCs/>
                <w:color w:val="auto"/>
                <w:highlight w:val="none"/>
                <w:u w:val="single"/>
              </w:rPr>
              <w:t>self-supporting</w:t>
            </w:r>
            <w:r>
              <w:rPr>
                <w:b w:val="0"/>
                <w:bCs/>
                <w:color w:val="auto"/>
                <w:highlight w:val="none"/>
              </w:rPr>
              <w:t xml:space="preserve"> wall</w:t>
            </w:r>
            <w:bookmarkEnd w:id="4"/>
          </w:p>
          <w:p w14:paraId="5D6F8EC8">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outlineLvl w:val="9"/>
              <w:rPr>
                <w:rFonts w:ascii="Times New Roman" w:hAnsi="Times New Roman"/>
                <w:bCs/>
                <w:szCs w:val="21"/>
              </w:rPr>
            </w:pPr>
            <w:r>
              <w:rPr>
                <w:color w:val="auto"/>
                <w:highlight w:val="none"/>
                <w:bdr w:val="single" w:color="000000" w:sz="4" w:space="0"/>
              </w:rPr>
              <w:t>承担自身重力作用并可兼做围护结构的墙体</w:t>
            </w:r>
            <w:r>
              <w:rPr>
                <w:rFonts w:hint="eastAsia"/>
                <w:color w:val="auto"/>
                <w:highlight w:val="none"/>
                <w:u w:val="single"/>
              </w:rPr>
              <w:t>承受自重及风、地震等侧向荷载作用的墙体</w:t>
            </w:r>
            <w:r>
              <w:rPr>
                <w:color w:val="auto"/>
                <w:highlight w:val="none"/>
              </w:rPr>
              <w:t>。</w:t>
            </w:r>
          </w:p>
        </w:tc>
      </w:tr>
      <w:tr w14:paraId="5065CE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686" w:type="dxa"/>
            <w:vAlign w:val="center"/>
          </w:tcPr>
          <w:p w14:paraId="3D786222">
            <w:pPr>
              <w:keepNext w:val="0"/>
              <w:keepLines w:val="0"/>
              <w:pageBreakBefore w:val="0"/>
              <w:widowControl w:val="0"/>
              <w:tabs>
                <w:tab w:val="left" w:pos="851"/>
              </w:tabs>
              <w:kinsoku/>
              <w:wordWrap/>
              <w:overflowPunct/>
              <w:topLinePunct w:val="0"/>
              <w:autoSpaceDE/>
              <w:autoSpaceDN/>
              <w:bidi w:val="0"/>
              <w:adjustRightInd/>
              <w:snapToGrid w:val="0"/>
              <w:spacing w:line="360" w:lineRule="auto"/>
              <w:textAlignment w:val="auto"/>
              <w:rPr>
                <w:rFonts w:ascii="Times New Roman" w:hAnsi="Times New Roman"/>
                <w:b/>
                <w:bCs/>
                <w:szCs w:val="21"/>
              </w:rPr>
            </w:pPr>
          </w:p>
        </w:tc>
        <w:tc>
          <w:tcPr>
            <w:tcW w:w="4716" w:type="dxa"/>
            <w:vAlign w:val="center"/>
          </w:tcPr>
          <w:p w14:paraId="79E3693C">
            <w:pPr>
              <w:keepNext w:val="0"/>
              <w:keepLines w:val="0"/>
              <w:pageBreakBefore w:val="0"/>
              <w:widowControl w:val="0"/>
              <w:kinsoku/>
              <w:wordWrap/>
              <w:overflowPunct/>
              <w:topLinePunct w:val="0"/>
              <w:autoSpaceDE/>
              <w:autoSpaceDN/>
              <w:bidi w:val="0"/>
              <w:adjustRightInd/>
              <w:snapToGrid w:val="0"/>
              <w:spacing w:line="360" w:lineRule="auto"/>
              <w:textAlignment w:val="auto"/>
              <w:outlineLvl w:val="9"/>
              <w:rPr>
                <w:color w:val="auto"/>
                <w:highlight w:val="none"/>
              </w:rPr>
            </w:pPr>
            <w:r>
              <w:rPr>
                <w:color w:val="auto"/>
                <w:highlight w:val="none"/>
              </w:rPr>
              <mc:AlternateContent>
                <mc:Choice Requires="wps">
                  <w:drawing>
                    <wp:anchor distT="0" distB="0" distL="114300" distR="114300" simplePos="0" relativeHeight="251660288" behindDoc="0" locked="0" layoutInCell="1" allowOverlap="1">
                      <wp:simplePos x="0" y="0"/>
                      <wp:positionH relativeFrom="column">
                        <wp:posOffset>13335</wp:posOffset>
                      </wp:positionH>
                      <wp:positionV relativeFrom="paragraph">
                        <wp:posOffset>148590</wp:posOffset>
                      </wp:positionV>
                      <wp:extent cx="1727835" cy="1270"/>
                      <wp:effectExtent l="0" t="0" r="0" b="0"/>
                      <wp:wrapNone/>
                      <wp:docPr id="27" name="直接连接符 27"/>
                      <wp:cNvGraphicFramePr/>
                      <a:graphic xmlns:a="http://schemas.openxmlformats.org/drawingml/2006/main">
                        <a:graphicData uri="http://schemas.microsoft.com/office/word/2010/wordprocessingShape">
                          <wps:wsp>
                            <wps:cNvCnPr/>
                            <wps:spPr>
                              <a:xfrm flipV="1">
                                <a:off x="0" y="0"/>
                                <a:ext cx="1727835" cy="1270"/>
                              </a:xfrm>
                              <a:prstGeom prst="line">
                                <a:avLst/>
                              </a:prstGeom>
                              <a:noFill/>
                              <a:ln w="7620" cap="flat" cmpd="sng" algn="ctr">
                                <a:solidFill>
                                  <a:srgbClr val="000000"/>
                                </a:solidFill>
                                <a:prstDash val="solid"/>
                              </a:ln>
                              <a:effectLst/>
                            </wps:spPr>
                            <wps:bodyPr/>
                          </wps:wsp>
                        </a:graphicData>
                      </a:graphic>
                    </wp:anchor>
                  </w:drawing>
                </mc:Choice>
                <mc:Fallback>
                  <w:pict>
                    <v:line id="_x0000_s1026" o:spid="_x0000_s1026" o:spt="20" style="position:absolute;left:0pt;flip:y;margin-left:1.05pt;margin-top:11.7pt;height:0.1pt;width:136.05pt;z-index:251660288;mso-width-relative:page;mso-height-relative:page;" filled="f" stroked="t" coordsize="21600,21600" o:gfxdata="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B4pR5J&#10;1gAAAAcBAAAPAAAAAAAAAAEAIAAAACIAAABkcnMvZG93bnJldi54bWxQSwECFAAUAAAACACHTuJA&#10;s0yaPOoBAAC3AwAADgAAAAAAAAABACAAAAAlAQAAZHJzL2Uyb0RvYy54bWxQSwUGAAAAAAYABgBZ&#10;AQAAgQUAAAAA&#10;">
                      <v:fill on="f" focussize="0,0"/>
                      <v:stroke weight="0.6pt" color="#000000" joinstyle="round"/>
                      <v:imagedata o:title=""/>
                      <o:lock v:ext="edit" aspectratio="f"/>
                    </v:line>
                  </w:pict>
                </mc:Fallback>
              </mc:AlternateContent>
            </w:r>
            <w:r>
              <w:rPr>
                <w:b/>
                <w:bCs/>
                <w:color w:val="auto"/>
                <w:highlight w:val="none"/>
              </w:rPr>
              <w:t>2.1.</w:t>
            </w:r>
            <w:r>
              <w:rPr>
                <w:rFonts w:hint="eastAsia"/>
                <w:b/>
                <w:bCs/>
                <w:color w:val="auto"/>
                <w:highlight w:val="none"/>
              </w:rPr>
              <w:t xml:space="preserve">2A  </w:t>
            </w:r>
            <w:r>
              <w:rPr>
                <w:rFonts w:hint="eastAsia"/>
                <w:color w:val="auto"/>
                <w:highlight w:val="none"/>
              </w:rPr>
              <w:t xml:space="preserve">填充墙  infilled wall </w:t>
            </w:r>
          </w:p>
          <w:p w14:paraId="1610BD43">
            <w:pPr>
              <w:keepNext w:val="0"/>
              <w:keepLines w:val="0"/>
              <w:pageBreakBefore w:val="0"/>
              <w:widowControl w:val="0"/>
              <w:kinsoku/>
              <w:wordWrap/>
              <w:overflowPunct/>
              <w:topLinePunct w:val="0"/>
              <w:autoSpaceDE/>
              <w:autoSpaceDN/>
              <w:bidi w:val="0"/>
              <w:adjustRightInd/>
              <w:snapToGrid w:val="0"/>
              <w:spacing w:line="360" w:lineRule="auto"/>
              <w:textAlignment w:val="auto"/>
              <w:outlineLvl w:val="9"/>
              <w:rPr>
                <w:rFonts w:ascii="Times New Roman" w:hAnsi="Times New Roman"/>
                <w:bCs/>
                <w:szCs w:val="21"/>
              </w:rPr>
            </w:pPr>
            <w:r>
              <w:rPr>
                <w:rFonts w:hint="eastAsia"/>
                <w:color w:val="auto"/>
                <w:highlight w:val="none"/>
              </w:rPr>
              <w:t xml:space="preserve">    </w:t>
            </w:r>
            <w:r>
              <w:rPr>
                <w:rFonts w:hint="eastAsia"/>
                <w:color w:val="auto"/>
                <w:highlight w:val="none"/>
                <w:u w:val="single"/>
              </w:rPr>
              <w:t>主要起围护和空间分割作用，</w:t>
            </w:r>
            <w:bookmarkStart w:id="5" w:name="OLE_LINK26"/>
            <w:r>
              <w:rPr>
                <w:rFonts w:hint="eastAsia"/>
                <w:color w:val="auto"/>
                <w:highlight w:val="none"/>
                <w:u w:val="single"/>
              </w:rPr>
              <w:t>不承受自重以外的竖向荷载的墙体</w:t>
            </w:r>
            <w:bookmarkEnd w:id="5"/>
            <w:r>
              <w:rPr>
                <w:rFonts w:hint="eastAsia"/>
                <w:color w:val="auto"/>
                <w:highlight w:val="none"/>
                <w:u w:val="single"/>
              </w:rPr>
              <w:t>。</w:t>
            </w:r>
          </w:p>
        </w:tc>
      </w:tr>
      <w:tr w14:paraId="14FB7C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686" w:type="dxa"/>
            <w:vAlign w:val="top"/>
          </w:tcPr>
          <w:p w14:paraId="6D12DC28">
            <w:pPr>
              <w:keepNext w:val="0"/>
              <w:keepLines w:val="0"/>
              <w:pageBreakBefore w:val="0"/>
              <w:widowControl w:val="0"/>
              <w:tabs>
                <w:tab w:val="left" w:pos="420"/>
                <w:tab w:val="left" w:pos="851"/>
              </w:tabs>
              <w:kinsoku/>
              <w:wordWrap/>
              <w:overflowPunct/>
              <w:topLinePunct w:val="0"/>
              <w:autoSpaceDE/>
              <w:autoSpaceDN/>
              <w:bidi w:val="0"/>
              <w:adjustRightInd/>
              <w:snapToGrid w:val="0"/>
              <w:spacing w:line="360" w:lineRule="auto"/>
              <w:jc w:val="both"/>
              <w:textAlignment w:val="auto"/>
              <w:rPr>
                <w:rFonts w:hint="eastAsia"/>
                <w:color w:val="auto"/>
                <w:highlight w:val="none"/>
              </w:rPr>
            </w:pPr>
            <w:r>
              <w:rPr>
                <w:rFonts w:hint="eastAsia"/>
                <w:b/>
                <w:color w:val="auto"/>
                <w:highlight w:val="none"/>
              </w:rPr>
              <w:t>2.1.3</w:t>
            </w:r>
            <w:r>
              <w:rPr>
                <w:rFonts w:hint="eastAsia"/>
                <w:color w:val="auto"/>
                <w:highlight w:val="none"/>
              </w:rPr>
              <w:t xml:space="preserve">  块体材料     masonry unit</w:t>
            </w:r>
          </w:p>
          <w:p w14:paraId="0B8B23AD">
            <w:pPr>
              <w:keepNext w:val="0"/>
              <w:keepLines w:val="0"/>
              <w:pageBreakBefore w:val="0"/>
              <w:widowControl w:val="0"/>
              <w:tabs>
                <w:tab w:val="left" w:pos="420"/>
                <w:tab w:val="left" w:pos="851"/>
              </w:tabs>
              <w:kinsoku/>
              <w:wordWrap/>
              <w:overflowPunct/>
              <w:topLinePunct w:val="0"/>
              <w:autoSpaceDE/>
              <w:autoSpaceDN/>
              <w:bidi w:val="0"/>
              <w:adjustRightInd/>
              <w:snapToGrid w:val="0"/>
              <w:spacing w:line="360" w:lineRule="auto"/>
              <w:ind w:firstLine="420" w:firstLineChars="200"/>
              <w:jc w:val="both"/>
              <w:textAlignment w:val="auto"/>
              <w:rPr>
                <w:rFonts w:ascii="Times New Roman" w:hAnsi="Times New Roman"/>
                <w:b/>
                <w:bCs/>
                <w:szCs w:val="21"/>
              </w:rPr>
            </w:pPr>
            <w:r>
              <w:rPr>
                <w:rFonts w:hint="eastAsia"/>
                <w:color w:val="auto"/>
                <w:highlight w:val="none"/>
              </w:rPr>
              <w:t>由烧结或非烧结生产工艺制成的实（空）心或多孔正六面体块材。</w:t>
            </w:r>
          </w:p>
        </w:tc>
        <w:tc>
          <w:tcPr>
            <w:tcW w:w="4716" w:type="dxa"/>
            <w:vAlign w:val="center"/>
          </w:tcPr>
          <w:p w14:paraId="0C1B14B4">
            <w:pPr>
              <w:keepNext w:val="0"/>
              <w:keepLines w:val="0"/>
              <w:pageBreakBefore w:val="0"/>
              <w:widowControl w:val="0"/>
              <w:kinsoku/>
              <w:wordWrap/>
              <w:overflowPunct/>
              <w:topLinePunct w:val="0"/>
              <w:autoSpaceDE/>
              <w:autoSpaceDN/>
              <w:bidi w:val="0"/>
              <w:adjustRightInd/>
              <w:snapToGrid w:val="0"/>
              <w:spacing w:line="360" w:lineRule="auto"/>
              <w:textAlignment w:val="auto"/>
              <w:outlineLvl w:val="9"/>
              <w:rPr>
                <w:rFonts w:hint="default" w:eastAsia="宋体"/>
                <w:bCs/>
                <w:color w:val="auto"/>
                <w:highlight w:val="none"/>
                <w:lang w:val="en-US" w:eastAsia="zh-CN"/>
              </w:rPr>
            </w:pPr>
            <w:bookmarkStart w:id="6" w:name="_Toc28649"/>
            <w:r>
              <w:rPr>
                <w:b/>
                <w:color w:val="auto"/>
                <w:highlight w:val="none"/>
              </w:rPr>
              <w:t xml:space="preserve">2.1.3  </w:t>
            </w:r>
            <w:r>
              <w:rPr>
                <w:color w:val="auto"/>
                <w:highlight w:val="none"/>
              </w:rPr>
              <w:t xml:space="preserve">块体材料    </w:t>
            </w:r>
            <w:r>
              <w:rPr>
                <w:b/>
                <w:color w:val="auto"/>
                <w:highlight w:val="none"/>
              </w:rPr>
              <w:t xml:space="preserve"> </w:t>
            </w:r>
            <w:r>
              <w:rPr>
                <w:b w:val="0"/>
                <w:bCs/>
                <w:color w:val="auto"/>
                <w:highlight w:val="none"/>
                <w:bdr w:val="single" w:color="000000" w:sz="0" w:space="0"/>
              </w:rPr>
              <w:t>masonry unit</w:t>
            </w:r>
            <w:bookmarkEnd w:id="6"/>
            <w:r>
              <w:rPr>
                <w:rFonts w:hint="eastAsia"/>
                <w:b/>
                <w:color w:val="auto"/>
                <w:highlight w:val="none"/>
                <w:lang w:val="en-US" w:eastAsia="zh-CN"/>
              </w:rPr>
              <w:t xml:space="preserve"> </w:t>
            </w:r>
            <w:r>
              <w:rPr>
                <w:rFonts w:hint="eastAsia"/>
                <w:b w:val="0"/>
                <w:bCs/>
                <w:color w:val="auto"/>
                <w:highlight w:val="none"/>
                <w:u w:val="single"/>
                <w:lang w:val="en-US" w:eastAsia="zh-CN"/>
              </w:rPr>
              <w:t>brick/block</w:t>
            </w:r>
          </w:p>
          <w:p w14:paraId="6E48A357">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outlineLvl w:val="9"/>
              <w:rPr>
                <w:rFonts w:ascii="Times New Roman" w:hAnsi="Times New Roman"/>
                <w:bCs/>
                <w:szCs w:val="21"/>
              </w:rPr>
            </w:pPr>
            <w:r>
              <w:rPr>
                <w:color w:val="auto"/>
                <w:highlight w:val="none"/>
              </w:rPr>
              <w:t>由烧结或非烧结生产工艺制成的实（空）心或多孔正六面体块</w:t>
            </w:r>
            <w:r>
              <w:rPr>
                <w:color w:val="auto"/>
                <w:highlight w:val="none"/>
                <w:bdr w:val="single" w:color="000000" w:sz="4" w:space="0"/>
              </w:rPr>
              <w:t>材</w:t>
            </w:r>
            <w:r>
              <w:rPr>
                <w:color w:val="auto"/>
                <w:highlight w:val="none"/>
              </w:rPr>
              <w:t>。</w:t>
            </w:r>
          </w:p>
        </w:tc>
      </w:tr>
      <w:tr w14:paraId="1DCBA3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686" w:type="dxa"/>
            <w:vAlign w:val="center"/>
          </w:tcPr>
          <w:p w14:paraId="23AE94E2">
            <w:pPr>
              <w:keepNext w:val="0"/>
              <w:keepLines w:val="0"/>
              <w:pageBreakBefore w:val="0"/>
              <w:widowControl w:val="0"/>
              <w:kinsoku/>
              <w:wordWrap/>
              <w:overflowPunct/>
              <w:topLinePunct w:val="0"/>
              <w:autoSpaceDE/>
              <w:autoSpaceDN/>
              <w:bidi w:val="0"/>
              <w:adjustRightInd/>
              <w:snapToGrid w:val="0"/>
              <w:spacing w:line="360" w:lineRule="auto"/>
              <w:textAlignment w:val="auto"/>
              <w:rPr>
                <w:b w:val="0"/>
                <w:bCs/>
                <w:color w:val="auto"/>
                <w:highlight w:val="none"/>
              </w:rPr>
            </w:pPr>
            <w:r>
              <w:rPr>
                <w:b/>
                <w:color w:val="auto"/>
                <w:highlight w:val="none"/>
              </w:rPr>
              <w:t xml:space="preserve">2.1.11  </w:t>
            </w:r>
            <w:r>
              <w:rPr>
                <w:color w:val="auto"/>
                <w:highlight w:val="none"/>
              </w:rPr>
              <w:t xml:space="preserve">传热系数    </w:t>
            </w:r>
            <w:r>
              <w:rPr>
                <w:b/>
                <w:color w:val="auto"/>
                <w:highlight w:val="none"/>
              </w:rPr>
              <w:t xml:space="preserve"> </w:t>
            </w:r>
            <w:r>
              <w:rPr>
                <w:b w:val="0"/>
                <w:bCs/>
                <w:color w:val="auto"/>
                <w:highlight w:val="none"/>
              </w:rPr>
              <w:t>heat transfer coefficient</w:t>
            </w:r>
          </w:p>
          <w:p w14:paraId="5E48F790">
            <w:pPr>
              <w:keepNext w:val="0"/>
              <w:keepLines w:val="0"/>
              <w:pageBreakBefore w:val="0"/>
              <w:widowControl w:val="0"/>
              <w:tabs>
                <w:tab w:val="left" w:pos="851"/>
              </w:tabs>
              <w:kinsoku/>
              <w:wordWrap/>
              <w:overflowPunct/>
              <w:topLinePunct w:val="0"/>
              <w:autoSpaceDE/>
              <w:autoSpaceDN/>
              <w:bidi w:val="0"/>
              <w:adjustRightInd/>
              <w:snapToGrid w:val="0"/>
              <w:spacing w:line="360" w:lineRule="auto"/>
              <w:textAlignment w:val="auto"/>
              <w:rPr>
                <w:rFonts w:ascii="Times New Roman" w:hAnsi="Times New Roman"/>
                <w:b/>
                <w:bCs/>
                <w:szCs w:val="21"/>
              </w:rPr>
            </w:pPr>
            <w:r>
              <w:rPr>
                <w:color w:val="auto"/>
                <w:highlight w:val="none"/>
              </w:rPr>
              <w:t>在单位时间内通过单位面积</w:t>
            </w:r>
            <w:r>
              <w:rPr>
                <w:color w:val="auto"/>
                <w:highlight w:val="none"/>
                <w:shd w:val="clear" w:color="auto" w:fill="auto"/>
              </w:rPr>
              <w:t>维</w:t>
            </w:r>
            <w:r>
              <w:rPr>
                <w:color w:val="auto"/>
                <w:highlight w:val="none"/>
              </w:rPr>
              <w:t>护结构的传热量。</w:t>
            </w:r>
          </w:p>
        </w:tc>
        <w:tc>
          <w:tcPr>
            <w:tcW w:w="4716" w:type="dxa"/>
            <w:vAlign w:val="center"/>
          </w:tcPr>
          <w:p w14:paraId="7D045024">
            <w:pPr>
              <w:keepNext w:val="0"/>
              <w:keepLines w:val="0"/>
              <w:pageBreakBefore w:val="0"/>
              <w:widowControl w:val="0"/>
              <w:kinsoku/>
              <w:wordWrap/>
              <w:overflowPunct/>
              <w:topLinePunct w:val="0"/>
              <w:autoSpaceDE/>
              <w:autoSpaceDN/>
              <w:bidi w:val="0"/>
              <w:adjustRightInd/>
              <w:snapToGrid w:val="0"/>
              <w:spacing w:line="360" w:lineRule="auto"/>
              <w:textAlignment w:val="auto"/>
              <w:rPr>
                <w:bCs/>
                <w:color w:val="auto"/>
                <w:highlight w:val="none"/>
              </w:rPr>
            </w:pPr>
            <w:r>
              <w:rPr>
                <w:b/>
                <w:color w:val="auto"/>
                <w:highlight w:val="none"/>
              </w:rPr>
              <w:t xml:space="preserve">2.1.11  </w:t>
            </w:r>
            <w:r>
              <w:rPr>
                <w:color w:val="auto"/>
                <w:highlight w:val="none"/>
              </w:rPr>
              <w:t xml:space="preserve">传热系数    </w:t>
            </w:r>
            <w:r>
              <w:rPr>
                <w:b/>
                <w:color w:val="auto"/>
                <w:highlight w:val="none"/>
              </w:rPr>
              <w:t xml:space="preserve"> </w:t>
            </w:r>
            <w:r>
              <w:rPr>
                <w:b w:val="0"/>
                <w:bCs/>
                <w:color w:val="auto"/>
                <w:highlight w:val="none"/>
              </w:rPr>
              <w:t>heat transfer coefficient</w:t>
            </w:r>
          </w:p>
          <w:p w14:paraId="60DCB02B">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ascii="Times New Roman" w:hAnsi="Times New Roman"/>
                <w:bCs/>
                <w:szCs w:val="21"/>
              </w:rPr>
            </w:pPr>
            <w:r>
              <w:rPr>
                <w:color w:val="auto"/>
                <w:highlight w:val="none"/>
              </w:rPr>
              <w:t>在单位时间内通过单位面积</w:t>
            </w:r>
            <w:r>
              <w:rPr>
                <w:color w:val="auto"/>
                <w:highlight w:val="none"/>
                <w:bdr w:val="single" w:color="000000" w:sz="4" w:space="0"/>
              </w:rPr>
              <w:t>维</w:t>
            </w:r>
            <w:r>
              <w:rPr>
                <w:rFonts w:hint="eastAsia"/>
                <w:color w:val="auto"/>
                <w:highlight w:val="none"/>
                <w:u w:val="single"/>
              </w:rPr>
              <w:t>围</w:t>
            </w:r>
            <w:r>
              <w:rPr>
                <w:color w:val="auto"/>
                <w:highlight w:val="none"/>
              </w:rPr>
              <w:t>护结构的传热量。</w:t>
            </w:r>
          </w:p>
        </w:tc>
      </w:tr>
    </w:tbl>
    <w:p w14:paraId="39EB9889">
      <w:r>
        <w:br w:type="page"/>
      </w:r>
    </w:p>
    <w:tbl>
      <w:tblPr>
        <w:tblStyle w:val="7"/>
        <w:tblW w:w="940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686"/>
        <w:gridCol w:w="4716"/>
      </w:tblGrid>
      <w:tr w14:paraId="0B64F0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Header/>
        </w:trPr>
        <w:tc>
          <w:tcPr>
            <w:tcW w:w="4686" w:type="dxa"/>
            <w:vAlign w:val="top"/>
          </w:tcPr>
          <w:p w14:paraId="21E90746">
            <w:pPr>
              <w:spacing w:before="120" w:beforeLines="50" w:after="120" w:afterLines="50"/>
              <w:jc w:val="center"/>
              <w:rPr>
                <w:rFonts w:ascii="Times New Roman" w:hAnsi="Times New Roman"/>
                <w:b/>
                <w:bCs/>
                <w:szCs w:val="21"/>
              </w:rPr>
            </w:pPr>
            <w:r>
              <w:rPr>
                <w:rFonts w:ascii="Times New Roman" w:hAnsi="Times New Roman"/>
                <w:b/>
                <w:bCs/>
                <w:szCs w:val="21"/>
              </w:rPr>
              <w:t>现行《标准》条文</w:t>
            </w:r>
          </w:p>
        </w:tc>
        <w:tc>
          <w:tcPr>
            <w:tcW w:w="4716" w:type="dxa"/>
          </w:tcPr>
          <w:p w14:paraId="20485641">
            <w:pPr>
              <w:spacing w:before="120" w:beforeLines="50" w:after="120" w:afterLines="50"/>
              <w:jc w:val="center"/>
              <w:rPr>
                <w:rFonts w:ascii="Times New Roman" w:hAnsi="Times New Roman"/>
                <w:b/>
                <w:bCs/>
                <w:szCs w:val="21"/>
              </w:rPr>
            </w:pPr>
            <w:r>
              <w:rPr>
                <w:rFonts w:ascii="Times New Roman" w:hAnsi="Times New Roman"/>
                <w:b/>
                <w:bCs/>
                <w:szCs w:val="21"/>
              </w:rPr>
              <w:t>局部修订征求意见稿</w:t>
            </w:r>
          </w:p>
        </w:tc>
      </w:tr>
      <w:tr w14:paraId="024DE9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686" w:type="dxa"/>
          </w:tcPr>
          <w:p w14:paraId="1FD8F9C7">
            <w:pPr>
              <w:spacing w:before="120" w:beforeLines="50" w:after="120" w:afterLines="50"/>
              <w:jc w:val="center"/>
              <w:rPr>
                <w:rFonts w:hint="default" w:ascii="Times New Roman" w:hAnsi="Times New Roman"/>
                <w:b/>
                <w:bCs/>
                <w:szCs w:val="21"/>
                <w:lang w:val="en-US"/>
              </w:rPr>
            </w:pPr>
            <w:r>
              <w:rPr>
                <w:rFonts w:hint="eastAsia"/>
                <w:b/>
                <w:bCs/>
                <w:szCs w:val="21"/>
                <w:lang w:val="en-US" w:eastAsia="zh-CN"/>
              </w:rPr>
              <w:t>3 墙体材料</w:t>
            </w:r>
          </w:p>
        </w:tc>
        <w:tc>
          <w:tcPr>
            <w:tcW w:w="4716" w:type="dxa"/>
          </w:tcPr>
          <w:p w14:paraId="29FFBBFF">
            <w:pPr>
              <w:spacing w:before="120" w:beforeLines="50" w:after="120" w:afterLines="50"/>
              <w:jc w:val="center"/>
              <w:rPr>
                <w:rFonts w:hint="default" w:ascii="Times New Roman" w:hAnsi="Times New Roman" w:eastAsia="宋体"/>
                <w:b/>
                <w:bCs/>
                <w:szCs w:val="21"/>
                <w:lang w:val="en-US" w:eastAsia="zh-CN"/>
              </w:rPr>
            </w:pPr>
            <w:r>
              <w:rPr>
                <w:rFonts w:hint="eastAsia"/>
                <w:b/>
                <w:bCs/>
                <w:szCs w:val="21"/>
                <w:lang w:val="en-US" w:eastAsia="zh-CN"/>
              </w:rPr>
              <w:t>3 墙体材料</w:t>
            </w:r>
          </w:p>
        </w:tc>
      </w:tr>
      <w:tr w14:paraId="64BCF7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686" w:type="dxa"/>
            <w:vAlign w:val="top"/>
          </w:tcPr>
          <w:p w14:paraId="5BC9F706">
            <w:pPr>
              <w:keepNext w:val="0"/>
              <w:keepLines w:val="0"/>
              <w:pageBreakBefore w:val="0"/>
              <w:widowControl w:val="0"/>
              <w:tabs>
                <w:tab w:val="left" w:pos="420"/>
                <w:tab w:val="left" w:pos="851"/>
              </w:tabs>
              <w:kinsoku/>
              <w:wordWrap/>
              <w:overflowPunct/>
              <w:topLinePunct w:val="0"/>
              <w:autoSpaceDE/>
              <w:autoSpaceDN/>
              <w:bidi w:val="0"/>
              <w:adjustRightInd/>
              <w:snapToGrid w:val="0"/>
              <w:spacing w:line="360" w:lineRule="auto"/>
              <w:jc w:val="both"/>
              <w:textAlignment w:val="auto"/>
              <w:rPr>
                <w:rFonts w:ascii="Times New Roman" w:hAnsi="Times New Roman"/>
                <w:b/>
                <w:bCs/>
                <w:szCs w:val="21"/>
              </w:rPr>
            </w:pPr>
            <w:r>
              <w:rPr>
                <w:b/>
                <w:color w:val="auto"/>
                <w:highlight w:val="none"/>
              </w:rPr>
              <w:t xml:space="preserve">3.1.1  </w:t>
            </w:r>
            <w:r>
              <w:rPr>
                <w:color w:val="auto"/>
                <w:highlight w:val="none"/>
              </w:rPr>
              <w:t>非烧结墙体材料所用的原材料及配合比应符合国家现行标准《轻骨料混凝土技术规程》JGJ 51、《普通混凝土配合比设计规程》JGJ 55、《粉煤灰混凝土应用技术规范》GBJ 146、《粉煤灰在混凝土和砂浆中应用技术规程》JGJ 28、《轻集料及其试验方法 第1部分：轻集料》GB/T 17431.1、《硅酸盐建筑制品用粉煤灰》JC/T 409、《硅酸盐建筑制品用生石灰》JC/T</w:t>
            </w:r>
            <w:r>
              <w:rPr>
                <w:rFonts w:hint="eastAsia"/>
                <w:color w:val="auto"/>
                <w:highlight w:val="none"/>
                <w:lang w:val="en-US" w:eastAsia="zh-CN"/>
              </w:rPr>
              <w:t xml:space="preserve"> </w:t>
            </w:r>
            <w:r>
              <w:rPr>
                <w:color w:val="auto"/>
                <w:highlight w:val="none"/>
              </w:rPr>
              <w:t>621和《硅酸盐建筑制品用砂》JC/T 622的有关规定。</w:t>
            </w:r>
          </w:p>
        </w:tc>
        <w:tc>
          <w:tcPr>
            <w:tcW w:w="4716" w:type="dxa"/>
          </w:tcPr>
          <w:p w14:paraId="6DE6E7B7">
            <w:pPr>
              <w:keepNext w:val="0"/>
              <w:keepLines w:val="0"/>
              <w:pageBreakBefore w:val="0"/>
              <w:widowControl w:val="0"/>
              <w:kinsoku/>
              <w:wordWrap/>
              <w:overflowPunct/>
              <w:topLinePunct w:val="0"/>
              <w:autoSpaceDE/>
              <w:autoSpaceDN/>
              <w:bidi w:val="0"/>
              <w:adjustRightInd/>
              <w:snapToGrid w:val="0"/>
              <w:spacing w:line="360" w:lineRule="auto"/>
              <w:textAlignment w:val="auto"/>
              <w:rPr>
                <w:rFonts w:ascii="Times New Roman" w:hAnsi="Times New Roman"/>
                <w:bCs/>
                <w:szCs w:val="21"/>
              </w:rPr>
            </w:pPr>
            <w:r>
              <w:rPr>
                <w:b/>
                <w:color w:val="auto"/>
                <w:highlight w:val="none"/>
              </w:rPr>
              <w:t xml:space="preserve">3.1.1  </w:t>
            </w:r>
            <w:r>
              <w:rPr>
                <w:color w:val="auto"/>
                <w:highlight w:val="none"/>
              </w:rPr>
              <w:t>非烧结墙体材料所用的原材料及配合比应符合国家现行标准</w:t>
            </w:r>
            <w:r>
              <w:rPr>
                <w:color w:val="auto"/>
                <w:highlight w:val="none"/>
                <w:bdr w:val="single" w:color="000000" w:sz="4" w:space="0"/>
              </w:rPr>
              <w:t>《轻骨料混凝土技术规程》JGJ 51</w:t>
            </w:r>
            <w:r>
              <w:rPr>
                <w:rFonts w:hint="eastAsia"/>
                <w:color w:val="auto"/>
                <w:highlight w:val="none"/>
                <w:u w:val="single"/>
                <w:lang w:eastAsia="zh-CN"/>
              </w:rPr>
              <w:t>《</w:t>
            </w:r>
            <w:r>
              <w:rPr>
                <w:rFonts w:hint="eastAsia"/>
                <w:color w:val="auto"/>
                <w:highlight w:val="none"/>
                <w:u w:val="single"/>
                <w:lang w:val="en-US" w:eastAsia="zh-CN"/>
              </w:rPr>
              <w:t>轻骨料混凝土应用技术标准</w:t>
            </w:r>
            <w:r>
              <w:rPr>
                <w:rFonts w:hint="eastAsia"/>
                <w:color w:val="auto"/>
                <w:highlight w:val="none"/>
                <w:u w:val="single"/>
                <w:lang w:eastAsia="zh-CN"/>
              </w:rPr>
              <w:t>》</w:t>
            </w:r>
            <w:r>
              <w:rPr>
                <w:rFonts w:hint="eastAsia"/>
                <w:color w:val="auto"/>
                <w:highlight w:val="none"/>
                <w:u w:val="single"/>
                <w:lang w:val="en-US" w:eastAsia="zh-CN"/>
              </w:rPr>
              <w:t>JGJ/T 12</w:t>
            </w:r>
            <w:r>
              <w:rPr>
                <w:color w:val="auto"/>
                <w:highlight w:val="none"/>
              </w:rPr>
              <w:t>、《普通混凝土配合比设计规程》JGJ 55、《粉煤灰混凝土应用技术规范》</w:t>
            </w:r>
            <w:r>
              <w:rPr>
                <w:color w:val="auto"/>
                <w:highlight w:val="none"/>
                <w:bdr w:val="single" w:color="000000" w:sz="4" w:space="0"/>
              </w:rPr>
              <w:t>GBJ 146</w:t>
            </w:r>
            <w:r>
              <w:rPr>
                <w:rFonts w:hint="eastAsia"/>
                <w:color w:val="auto"/>
                <w:highlight w:val="none"/>
                <w:bdr w:val="single" w:color="000000" w:sz="4" w:space="0"/>
                <w:lang w:val="en-US" w:eastAsia="zh-CN"/>
              </w:rPr>
              <w:t xml:space="preserve"> </w:t>
            </w:r>
            <w:r>
              <w:rPr>
                <w:rFonts w:hint="eastAsia"/>
                <w:color w:val="auto"/>
                <w:highlight w:val="none"/>
                <w:u w:val="single"/>
                <w:lang w:val="en-US" w:eastAsia="zh-CN"/>
              </w:rPr>
              <w:t>GB/T 50146</w:t>
            </w:r>
            <w:r>
              <w:rPr>
                <w:color w:val="auto"/>
                <w:highlight w:val="none"/>
              </w:rPr>
              <w:t>、</w:t>
            </w:r>
            <w:r>
              <w:rPr>
                <w:color w:val="auto"/>
                <w:highlight w:val="none"/>
                <w:bdr w:val="single" w:color="000000" w:sz="4" w:space="0"/>
              </w:rPr>
              <w:t>《粉煤灰在混凝土和砂浆中应用技术规程》JGJ 28、</w:t>
            </w:r>
            <w:r>
              <w:rPr>
                <w:color w:val="auto"/>
                <w:highlight w:val="none"/>
              </w:rPr>
              <w:t>《轻集料及其试验方法 第1部分：轻集料》GB/T 17431.1、《硅酸盐建筑制品用粉煤灰》JC/T 409、《硅酸盐建筑制品用生石灰》JC/T</w:t>
            </w:r>
            <w:r>
              <w:rPr>
                <w:rFonts w:hint="eastAsia"/>
                <w:color w:val="auto"/>
                <w:highlight w:val="none"/>
                <w:lang w:val="en-US" w:eastAsia="zh-CN"/>
              </w:rPr>
              <w:t xml:space="preserve"> </w:t>
            </w:r>
            <w:r>
              <w:rPr>
                <w:color w:val="auto"/>
                <w:highlight w:val="none"/>
              </w:rPr>
              <w:t>621和《硅酸盐建筑制品用砂》JC/T 622</w:t>
            </w:r>
            <w:r>
              <w:rPr>
                <w:rFonts w:hint="eastAsia"/>
                <w:color w:val="auto"/>
                <w:highlight w:val="none"/>
                <w:u w:val="single"/>
              </w:rPr>
              <w:t>等</w:t>
            </w:r>
            <w:r>
              <w:rPr>
                <w:color w:val="auto"/>
                <w:highlight w:val="none"/>
              </w:rPr>
              <w:t>的有关规定。</w:t>
            </w:r>
          </w:p>
        </w:tc>
      </w:tr>
      <w:tr w14:paraId="0636E5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686" w:type="dxa"/>
            <w:vAlign w:val="center"/>
          </w:tcPr>
          <w:p w14:paraId="494DCBD2">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Times New Roman" w:hAnsi="Times New Roman"/>
                <w:szCs w:val="21"/>
              </w:rPr>
            </w:pPr>
            <w:r>
              <w:rPr>
                <w:b/>
                <w:color w:val="000000"/>
              </w:rPr>
              <w:t xml:space="preserve">3.1.2  </w:t>
            </w:r>
            <w:r>
              <w:rPr>
                <w:color w:val="000000"/>
              </w:rPr>
              <w:t>砌筑蒸压砖、蒸压加气混凝土砌块、混凝土小型空心砌块、</w:t>
            </w:r>
            <w:r>
              <w:rPr>
                <w:color w:val="000000" w:themeColor="text1"/>
                <w14:textFill>
                  <w14:solidFill>
                    <w14:schemeClr w14:val="tx1"/>
                  </w14:solidFill>
                </w14:textFill>
              </w:rPr>
              <w:t>石膏砌块</w:t>
            </w:r>
            <w:r>
              <w:rPr>
                <w:color w:val="000000"/>
              </w:rPr>
              <w:t>墙体时，宜采用专用砌筑砂浆。</w:t>
            </w:r>
          </w:p>
        </w:tc>
        <w:tc>
          <w:tcPr>
            <w:tcW w:w="4716" w:type="dxa"/>
            <w:vAlign w:val="center"/>
          </w:tcPr>
          <w:p w14:paraId="5C72A2B6">
            <w:pPr>
              <w:keepNext w:val="0"/>
              <w:keepLines w:val="0"/>
              <w:pageBreakBefore w:val="0"/>
              <w:widowControl w:val="0"/>
              <w:kinsoku/>
              <w:wordWrap/>
              <w:overflowPunct/>
              <w:topLinePunct w:val="0"/>
              <w:autoSpaceDE/>
              <w:autoSpaceDN/>
              <w:bidi w:val="0"/>
              <w:adjustRightInd/>
              <w:snapToGrid w:val="0"/>
              <w:spacing w:line="360" w:lineRule="auto"/>
              <w:textAlignment w:val="auto"/>
              <w:rPr>
                <w:rFonts w:ascii="Times New Roman" w:hAnsi="Times New Roman"/>
                <w:bCs/>
                <w:szCs w:val="21"/>
              </w:rPr>
            </w:pPr>
            <w:r>
              <w:rPr>
                <w:b/>
                <w:color w:val="auto"/>
                <w:highlight w:val="none"/>
              </w:rPr>
              <w:t xml:space="preserve">3.1.2  </w:t>
            </w:r>
            <w:r>
              <w:rPr>
                <w:color w:val="auto"/>
                <w:highlight w:val="none"/>
                <w:bdr w:val="single" w:color="000000" w:sz="4" w:space="0"/>
              </w:rPr>
              <w:t>砌筑蒸压砖、蒸压加气混凝土砌块、混凝土小型空心砌块、石膏砌块墙体时，</w:t>
            </w:r>
            <w:r>
              <w:rPr>
                <w:rFonts w:hint="eastAsia"/>
                <w:color w:val="auto"/>
                <w:highlight w:val="none"/>
                <w:u w:val="single"/>
              </w:rPr>
              <w:t>非烧结</w:t>
            </w:r>
            <w:r>
              <w:rPr>
                <w:rFonts w:hint="eastAsia"/>
                <w:color w:val="auto"/>
                <w:highlight w:val="none"/>
                <w:u w:val="single"/>
                <w:lang w:val="en-US" w:eastAsia="zh-CN"/>
              </w:rPr>
              <w:t>块体</w:t>
            </w:r>
            <w:r>
              <w:rPr>
                <w:color w:val="auto"/>
                <w:highlight w:val="none"/>
              </w:rPr>
              <w:t>宜采用专用砌筑砂浆</w:t>
            </w:r>
            <w:r>
              <w:rPr>
                <w:rFonts w:hint="eastAsia"/>
                <w:color w:val="auto"/>
                <w:highlight w:val="none"/>
                <w:u w:val="single"/>
              </w:rPr>
              <w:t>砌筑</w:t>
            </w:r>
            <w:r>
              <w:rPr>
                <w:color w:val="auto"/>
                <w:highlight w:val="none"/>
              </w:rPr>
              <w:t>。</w:t>
            </w:r>
          </w:p>
        </w:tc>
      </w:tr>
      <w:tr w14:paraId="506F48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686" w:type="dxa"/>
            <w:vAlign w:val="center"/>
          </w:tcPr>
          <w:p w14:paraId="330D21B1">
            <w:pPr>
              <w:keepNext w:val="0"/>
              <w:keepLines w:val="0"/>
              <w:pageBreakBefore w:val="0"/>
              <w:widowControl w:val="0"/>
              <w:tabs>
                <w:tab w:val="left" w:pos="851"/>
              </w:tabs>
              <w:kinsoku/>
              <w:wordWrap/>
              <w:overflowPunct/>
              <w:topLinePunct w:val="0"/>
              <w:autoSpaceDE/>
              <w:autoSpaceDN/>
              <w:bidi w:val="0"/>
              <w:adjustRightInd/>
              <w:snapToGrid w:val="0"/>
              <w:spacing w:line="360" w:lineRule="auto"/>
              <w:textAlignment w:val="auto"/>
              <w:rPr>
                <w:rFonts w:hint="eastAsia" w:ascii="Times New Roman" w:hAnsi="Times New Roman" w:eastAsia="宋体"/>
                <w:b/>
                <w:bCs/>
                <w:szCs w:val="21"/>
                <w:lang w:eastAsia="zh-CN"/>
              </w:rPr>
            </w:pPr>
            <w:r>
              <w:rPr>
                <w:b/>
                <w:color w:val="auto"/>
                <w:highlight w:val="none"/>
              </w:rPr>
              <w:t xml:space="preserve">3.1.3  </w:t>
            </w:r>
            <w:r>
              <w:rPr>
                <w:color w:val="auto"/>
                <w:highlight w:val="none"/>
              </w:rPr>
              <w:t>有机材料制成的墙体材料产品说明书中应标注其使用年限</w:t>
            </w:r>
            <w:r>
              <w:rPr>
                <w:rFonts w:hint="eastAsia"/>
                <w:color w:val="auto"/>
                <w:highlight w:val="none"/>
                <w:lang w:eastAsia="zh-CN"/>
              </w:rPr>
              <w:t>。</w:t>
            </w:r>
          </w:p>
        </w:tc>
        <w:tc>
          <w:tcPr>
            <w:tcW w:w="4716" w:type="dxa"/>
            <w:vAlign w:val="center"/>
          </w:tcPr>
          <w:p w14:paraId="2BD98DD7">
            <w:pPr>
              <w:keepNext w:val="0"/>
              <w:keepLines w:val="0"/>
              <w:pageBreakBefore w:val="0"/>
              <w:widowControl w:val="0"/>
              <w:kinsoku/>
              <w:wordWrap/>
              <w:overflowPunct/>
              <w:topLinePunct w:val="0"/>
              <w:autoSpaceDE/>
              <w:autoSpaceDN/>
              <w:bidi w:val="0"/>
              <w:adjustRightInd/>
              <w:snapToGrid w:val="0"/>
              <w:spacing w:line="360" w:lineRule="auto"/>
              <w:textAlignment w:val="auto"/>
              <w:outlineLvl w:val="9"/>
              <w:rPr>
                <w:rFonts w:ascii="Times New Roman" w:hAnsi="Times New Roman"/>
                <w:bCs/>
                <w:szCs w:val="21"/>
              </w:rPr>
            </w:pPr>
            <w:r>
              <w:rPr>
                <w:b/>
                <w:color w:val="auto"/>
                <w:highlight w:val="none"/>
              </w:rPr>
              <w:t xml:space="preserve">3.1.3  </w:t>
            </w:r>
            <w:r>
              <w:rPr>
                <w:color w:val="auto"/>
                <w:highlight w:val="none"/>
              </w:rPr>
              <w:t>有机材料制成的墙体材料产品说明书中应标注其</w:t>
            </w:r>
            <w:r>
              <w:rPr>
                <w:color w:val="auto"/>
                <w:highlight w:val="none"/>
                <w:bdr w:val="single" w:color="000000" w:sz="0" w:space="0"/>
              </w:rPr>
              <w:t>使用</w:t>
            </w:r>
            <w:r>
              <w:rPr>
                <w:rFonts w:hint="eastAsia"/>
                <w:color w:val="auto"/>
                <w:highlight w:val="none"/>
                <w:u w:val="single"/>
                <w:lang w:val="en-US" w:eastAsia="zh-CN"/>
              </w:rPr>
              <w:t>工作</w:t>
            </w:r>
            <w:r>
              <w:rPr>
                <w:color w:val="auto"/>
                <w:highlight w:val="none"/>
              </w:rPr>
              <w:t>年限</w:t>
            </w:r>
          </w:p>
        </w:tc>
      </w:tr>
      <w:tr w14:paraId="5D4497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37" w:hRule="atLeast"/>
        </w:trPr>
        <w:tc>
          <w:tcPr>
            <w:tcW w:w="4686" w:type="dxa"/>
            <w:vMerge w:val="restart"/>
            <w:vAlign w:val="center"/>
          </w:tcPr>
          <w:p w14:paraId="33C3B325">
            <w:pPr>
              <w:keepNext w:val="0"/>
              <w:keepLines w:val="0"/>
              <w:pageBreakBefore w:val="0"/>
              <w:widowControl w:val="0"/>
              <w:tabs>
                <w:tab w:val="left" w:pos="851"/>
              </w:tabs>
              <w:kinsoku/>
              <w:wordWrap/>
              <w:overflowPunct/>
              <w:topLinePunct w:val="0"/>
              <w:autoSpaceDE/>
              <w:autoSpaceDN/>
              <w:bidi w:val="0"/>
              <w:adjustRightInd/>
              <w:snapToGrid w:val="0"/>
              <w:spacing w:line="360" w:lineRule="auto"/>
              <w:textAlignment w:val="auto"/>
              <w:rPr>
                <w:b/>
                <w:color w:val="auto"/>
                <w:highlight w:val="none"/>
              </w:rPr>
            </w:pPr>
            <w:r>
              <w:rPr>
                <w:rFonts w:hint="eastAsia"/>
                <w:b/>
                <w:color w:val="auto"/>
                <w:highlight w:val="none"/>
              </w:rPr>
              <w:t xml:space="preserve">3.1.4  </w:t>
            </w:r>
            <w:r>
              <w:rPr>
                <w:rFonts w:hint="eastAsia" w:ascii="黑体" w:hAnsi="黑体" w:eastAsia="黑体" w:cs="黑体"/>
                <w:b/>
                <w:color w:val="auto"/>
                <w:highlight w:val="none"/>
              </w:rPr>
              <w:t>墙体不应采用非蒸压硅酸盐砖（砌块）及非蒸压加气混凝土制品。</w:t>
            </w:r>
          </w:p>
        </w:tc>
        <w:tc>
          <w:tcPr>
            <w:tcW w:w="4716" w:type="dxa"/>
            <w:vAlign w:val="center"/>
          </w:tcPr>
          <w:p w14:paraId="0EA4247A">
            <w:pPr>
              <w:keepNext w:val="0"/>
              <w:keepLines w:val="0"/>
              <w:pageBreakBefore w:val="0"/>
              <w:widowControl w:val="0"/>
              <w:kinsoku/>
              <w:wordWrap/>
              <w:overflowPunct/>
              <w:topLinePunct w:val="0"/>
              <w:autoSpaceDE/>
              <w:autoSpaceDN/>
              <w:bidi w:val="0"/>
              <w:adjustRightInd/>
              <w:snapToGrid w:val="0"/>
              <w:spacing w:line="360" w:lineRule="auto"/>
              <w:textAlignment w:val="auto"/>
              <w:outlineLvl w:val="9"/>
              <w:rPr>
                <w:rFonts w:hint="eastAsia"/>
                <w:b/>
                <w:color w:val="auto"/>
                <w:highlight w:val="none"/>
                <w:bdr w:val="single" w:sz="4" w:space="0"/>
              </w:rPr>
            </w:pPr>
            <w:r>
              <w:rPr>
                <w:rFonts w:hint="eastAsia"/>
                <w:b/>
                <w:color w:val="auto"/>
                <w:highlight w:val="none"/>
                <w:bdr w:val="single" w:sz="4" w:space="0"/>
              </w:rPr>
              <w:t xml:space="preserve">3.1.4  </w:t>
            </w:r>
            <w:r>
              <w:rPr>
                <w:rFonts w:hint="eastAsia" w:ascii="黑体" w:hAnsi="黑体" w:eastAsia="黑体" w:cs="黑体"/>
                <w:b/>
                <w:color w:val="auto"/>
                <w:highlight w:val="none"/>
                <w:bdr w:val="single" w:sz="4" w:space="0"/>
              </w:rPr>
              <w:t>墙体不应采用非蒸压硅酸盐砖（砌块）及非蒸压加气混凝土制品。</w:t>
            </w:r>
          </w:p>
          <w:p w14:paraId="696360C3">
            <w:pPr>
              <w:snapToGrid w:val="0"/>
              <w:spacing w:line="300" w:lineRule="auto"/>
              <w:rPr>
                <w:rFonts w:hint="eastAsia"/>
                <w:b/>
                <w:color w:val="auto"/>
                <w:highlight w:val="none"/>
                <w:bdr w:val="single" w:sz="4" w:space="0"/>
              </w:rPr>
            </w:pPr>
            <w:r>
              <w:rPr>
                <w:b/>
                <w:color w:val="auto"/>
                <w:highlight w:val="none"/>
                <w:u w:val="single"/>
                <w:shd w:val="clear" w:color="auto" w:fill="auto"/>
              </w:rPr>
              <w:t>3.1.4</w:t>
            </w:r>
            <w:r>
              <w:rPr>
                <w:rFonts w:hint="eastAsia"/>
                <w:b/>
                <w:bCs/>
                <w:color w:val="auto"/>
                <w:highlight w:val="none"/>
                <w:u w:val="single"/>
              </w:rPr>
              <w:t>A</w:t>
            </w:r>
            <w:r>
              <w:rPr>
                <w:b/>
                <w:color w:val="auto"/>
                <w:highlight w:val="none"/>
                <w:u w:val="none"/>
                <w:shd w:val="clear" w:color="auto" w:fill="auto"/>
              </w:rPr>
              <w:t xml:space="preserve"> </w:t>
            </w:r>
            <w:r>
              <w:rPr>
                <w:rFonts w:hint="eastAsia" w:ascii="宋体" w:hAnsi="宋体" w:eastAsia="宋体" w:cs="宋体"/>
                <w:color w:val="auto"/>
                <w:highlight w:val="none"/>
                <w:u w:val="single"/>
                <w:shd w:val="clear" w:color="auto" w:fill="auto"/>
              </w:rPr>
              <w:t>墙体不</w:t>
            </w:r>
            <w:r>
              <w:rPr>
                <w:rFonts w:hint="eastAsia" w:ascii="宋体" w:hAnsi="宋体" w:eastAsia="宋体" w:cs="宋体"/>
                <w:color w:val="auto"/>
                <w:highlight w:val="none"/>
                <w:u w:val="single"/>
                <w:shd w:val="clear" w:color="auto" w:fill="auto"/>
                <w:lang w:val="en-US" w:eastAsia="zh-CN"/>
              </w:rPr>
              <w:t>应</w:t>
            </w:r>
            <w:r>
              <w:rPr>
                <w:rFonts w:hint="eastAsia" w:ascii="宋体" w:hAnsi="宋体" w:eastAsia="宋体" w:cs="宋体"/>
                <w:color w:val="auto"/>
                <w:highlight w:val="none"/>
                <w:u w:val="single"/>
                <w:shd w:val="clear" w:color="auto" w:fill="auto"/>
              </w:rPr>
              <w:t>采用非蒸压硅酸盐砖（砌块）及非蒸压</w:t>
            </w:r>
            <w:r>
              <w:rPr>
                <w:rFonts w:hint="eastAsia" w:ascii="宋体" w:hAnsi="宋体" w:eastAsia="宋体" w:cs="宋体"/>
                <w:color w:val="auto"/>
                <w:highlight w:val="none"/>
                <w:u w:val="single"/>
                <w:shd w:val="clear" w:color="auto" w:fill="auto"/>
                <w:lang w:val="en-US" w:eastAsia="zh-CN"/>
              </w:rPr>
              <w:t>加气</w:t>
            </w:r>
            <w:r>
              <w:rPr>
                <w:rFonts w:hint="eastAsia" w:ascii="宋体" w:hAnsi="宋体" w:eastAsia="宋体" w:cs="宋体"/>
                <w:color w:val="auto"/>
                <w:highlight w:val="none"/>
                <w:u w:val="single"/>
                <w:shd w:val="clear" w:color="auto" w:fill="auto"/>
              </w:rPr>
              <w:t>混凝土制品。</w:t>
            </w:r>
          </w:p>
        </w:tc>
      </w:tr>
      <w:tr w14:paraId="094178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97" w:hRule="atLeast"/>
        </w:trPr>
        <w:tc>
          <w:tcPr>
            <w:tcW w:w="4686" w:type="dxa"/>
            <w:vAlign w:val="center"/>
          </w:tcPr>
          <w:p w14:paraId="7A082D4F">
            <w:pPr>
              <w:snapToGrid w:val="0"/>
              <w:spacing w:line="300" w:lineRule="auto"/>
              <w:rPr>
                <w:rFonts w:hint="eastAsia"/>
                <w:b/>
                <w:color w:val="auto"/>
                <w:highlight w:val="none"/>
              </w:rPr>
            </w:pPr>
            <w:r>
              <w:rPr>
                <w:b/>
                <w:color w:val="auto"/>
                <w:highlight w:val="none"/>
              </w:rPr>
              <w:t xml:space="preserve">3.1.5  </w:t>
            </w:r>
            <w:r>
              <w:rPr>
                <w:rFonts w:hint="eastAsia" w:ascii="黑体" w:hAnsi="黑体" w:eastAsia="黑体" w:cs="黑体"/>
                <w:b/>
                <w:bCs/>
                <w:color w:val="auto"/>
                <w:highlight w:val="none"/>
              </w:rPr>
              <w:t>应用氯氧镁墙材制品时应进行吸潮返卤、翘曲变形及耐水性试验，并应在其试验指标满足使用要求后用于工程。</w:t>
            </w:r>
          </w:p>
        </w:tc>
        <w:tc>
          <w:tcPr>
            <w:tcW w:w="4716" w:type="dxa"/>
            <w:vAlign w:val="center"/>
          </w:tcPr>
          <w:p w14:paraId="03C9B287">
            <w:pPr>
              <w:snapToGrid w:val="0"/>
              <w:spacing w:line="300" w:lineRule="auto"/>
              <w:rPr>
                <w:b/>
                <w:color w:val="auto"/>
                <w:highlight w:val="none"/>
                <w:bdr w:val="single" w:color="000000" w:sz="0" w:space="0"/>
              </w:rPr>
            </w:pPr>
            <w:r>
              <w:rPr>
                <w:b/>
                <w:color w:val="auto"/>
                <w:highlight w:val="none"/>
                <w:bdr w:val="single" w:color="000000" w:sz="0" w:space="0"/>
              </w:rPr>
              <w:t xml:space="preserve">3.1.5  </w:t>
            </w:r>
            <w:r>
              <w:rPr>
                <w:rFonts w:hint="eastAsia" w:ascii="黑体" w:hAnsi="黑体" w:eastAsia="黑体" w:cs="黑体"/>
                <w:b/>
                <w:bCs/>
                <w:color w:val="auto"/>
                <w:highlight w:val="none"/>
                <w:bdr w:val="single" w:color="000000" w:sz="0" w:space="0"/>
              </w:rPr>
              <w:t>应用氯氧镁墙材制品时应进行吸潮返卤、翘曲变形及耐水性试验，并应在其试验指标满足使用要求后用于工程。</w:t>
            </w:r>
          </w:p>
          <w:p w14:paraId="595D9012">
            <w:pPr>
              <w:snapToGrid w:val="0"/>
              <w:spacing w:line="300" w:lineRule="auto"/>
              <w:rPr>
                <w:b/>
                <w:color w:val="auto"/>
                <w:highlight w:val="none"/>
                <w:bdr w:val="single" w:color="000000" w:sz="0" w:space="0"/>
              </w:rPr>
            </w:pPr>
            <w:r>
              <w:rPr>
                <w:b/>
                <w:color w:val="auto"/>
                <w:highlight w:val="none"/>
                <w:u w:val="single"/>
              </w:rPr>
              <w:t>3.1.5</w:t>
            </w:r>
            <w:r>
              <w:rPr>
                <w:rFonts w:hint="eastAsia"/>
                <w:b/>
                <w:bCs/>
                <w:color w:val="auto"/>
                <w:highlight w:val="none"/>
                <w:u w:val="single"/>
              </w:rPr>
              <w:t>A</w:t>
            </w:r>
            <w:r>
              <w:rPr>
                <w:b/>
                <w:color w:val="auto"/>
                <w:highlight w:val="none"/>
              </w:rPr>
              <w:t xml:space="preserve"> </w:t>
            </w:r>
            <w:r>
              <w:rPr>
                <w:color w:val="auto"/>
                <w:highlight w:val="none"/>
                <w:u w:val="single"/>
              </w:rPr>
              <w:t>应用氯氧镁墙材制品时应进行吸潮返卤、翘曲变形及耐水性试验，并应在其试验指标满足使用要求后用于工程。</w:t>
            </w:r>
          </w:p>
        </w:tc>
      </w:tr>
      <w:tr w14:paraId="0AE26E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686" w:type="dxa"/>
            <w:vAlign w:val="center"/>
          </w:tcPr>
          <w:p w14:paraId="10CFC1D2">
            <w:pPr>
              <w:keepNext w:val="0"/>
              <w:keepLines w:val="0"/>
              <w:pageBreakBefore w:val="0"/>
              <w:widowControl w:val="0"/>
              <w:kinsoku/>
              <w:wordWrap/>
              <w:overflowPunct/>
              <w:topLinePunct w:val="0"/>
              <w:autoSpaceDE/>
              <w:autoSpaceDN/>
              <w:bidi w:val="0"/>
              <w:adjustRightInd/>
              <w:snapToGrid w:val="0"/>
              <w:spacing w:line="360" w:lineRule="auto"/>
              <w:textAlignment w:val="auto"/>
              <w:rPr>
                <w:color w:val="auto"/>
                <w:highlight w:val="none"/>
              </w:rPr>
            </w:pPr>
            <w:r>
              <w:rPr>
                <w:b/>
                <w:color w:val="auto"/>
                <w:highlight w:val="none"/>
              </w:rPr>
              <w:t xml:space="preserve">3.2.1  </w:t>
            </w:r>
            <w:r>
              <w:rPr>
                <w:color w:val="auto"/>
                <w:highlight w:val="none"/>
              </w:rPr>
              <w:t>块体材料的外型尺寸除应符合建筑模数</w:t>
            </w:r>
            <w:r>
              <w:rPr>
                <w:rFonts w:hint="eastAsia"/>
                <w:color w:val="auto"/>
                <w:highlight w:val="none"/>
                <w:lang w:val="en-US" w:eastAsia="zh-CN"/>
              </w:rPr>
              <w:t>要求</w:t>
            </w:r>
            <w:r>
              <w:rPr>
                <w:color w:val="auto"/>
                <w:highlight w:val="none"/>
              </w:rPr>
              <w:t xml:space="preserve">外，尚应符合下列规定： </w:t>
            </w:r>
          </w:p>
          <w:p w14:paraId="46EC9651">
            <w:pPr>
              <w:keepNext w:val="0"/>
              <w:keepLines w:val="0"/>
              <w:pageBreakBefore w:val="0"/>
              <w:widowControl w:val="0"/>
              <w:kinsoku/>
              <w:wordWrap/>
              <w:overflowPunct/>
              <w:topLinePunct w:val="0"/>
              <w:autoSpaceDE/>
              <w:autoSpaceDN/>
              <w:bidi w:val="0"/>
              <w:adjustRightInd/>
              <w:snapToGrid w:val="0"/>
              <w:spacing w:line="360" w:lineRule="auto"/>
              <w:ind w:firstLine="417" w:firstLineChars="198"/>
              <w:textAlignment w:val="auto"/>
              <w:rPr>
                <w:color w:val="auto"/>
                <w:highlight w:val="none"/>
              </w:rPr>
            </w:pPr>
            <w:r>
              <w:rPr>
                <w:b/>
                <w:color w:val="auto"/>
                <w:highlight w:val="none"/>
              </w:rPr>
              <w:t xml:space="preserve">1  </w:t>
            </w:r>
            <w:r>
              <w:rPr>
                <w:rFonts w:hint="eastAsia" w:ascii="黑体" w:hAnsi="黑体" w:eastAsia="黑体" w:cs="黑体"/>
                <w:b/>
                <w:bCs/>
                <w:color w:val="auto"/>
                <w:highlight w:val="none"/>
              </w:rPr>
              <w:t>非烧结含孔块材的孔洞率、壁及肋厚度等应符合表3.2.1的要求；</w:t>
            </w:r>
          </w:p>
          <w:p w14:paraId="229ACA7D">
            <w:pPr>
              <w:keepNext w:val="0"/>
              <w:keepLines w:val="0"/>
              <w:pageBreakBefore w:val="0"/>
              <w:widowControl w:val="0"/>
              <w:kinsoku/>
              <w:wordWrap/>
              <w:overflowPunct/>
              <w:topLinePunct w:val="0"/>
              <w:autoSpaceDE/>
              <w:autoSpaceDN/>
              <w:bidi w:val="0"/>
              <w:adjustRightInd/>
              <w:snapToGrid w:val="0"/>
              <w:spacing w:line="360" w:lineRule="auto"/>
              <w:ind w:firstLine="417" w:firstLineChars="198"/>
              <w:textAlignment w:val="auto"/>
              <w:outlineLvl w:val="9"/>
              <w:rPr>
                <w:color w:val="auto"/>
                <w:highlight w:val="none"/>
              </w:rPr>
            </w:pPr>
            <w:r>
              <w:rPr>
                <w:b/>
                <w:color w:val="auto"/>
                <w:highlight w:val="none"/>
              </w:rPr>
              <w:t xml:space="preserve">2  </w:t>
            </w:r>
            <w:r>
              <w:rPr>
                <w:color w:val="auto"/>
                <w:highlight w:val="none"/>
              </w:rPr>
              <w:t>承重烧结多孔砖的孔洞率不应大于35%；</w:t>
            </w:r>
          </w:p>
          <w:p w14:paraId="01C8910C">
            <w:pPr>
              <w:tabs>
                <w:tab w:val="left" w:pos="851"/>
              </w:tabs>
              <w:spacing w:before="120" w:beforeLines="50" w:after="120" w:afterLines="50" w:line="360" w:lineRule="auto"/>
              <w:ind w:firstLine="422" w:firstLineChars="200"/>
              <w:rPr>
                <w:rFonts w:ascii="Times New Roman" w:hAnsi="Times New Roman"/>
                <w:b/>
                <w:bCs/>
                <w:szCs w:val="21"/>
              </w:rPr>
            </w:pPr>
            <w:r>
              <w:rPr>
                <w:b/>
                <w:color w:val="auto"/>
                <w:highlight w:val="none"/>
              </w:rPr>
              <w:t xml:space="preserve">3  </w:t>
            </w:r>
            <w:r>
              <w:rPr>
                <w:color w:val="auto"/>
                <w:highlight w:val="none"/>
              </w:rPr>
              <w:t>承重单排孔混凝土小型空心砌块的孔型，应保证其砌筑时上下皮砌块的孔与孔相对；多孔砖及自承重单排孔小砌块的孔型宜采用半盲孔；</w:t>
            </w:r>
          </w:p>
        </w:tc>
        <w:tc>
          <w:tcPr>
            <w:tcW w:w="4716" w:type="dxa"/>
            <w:vAlign w:val="center"/>
          </w:tcPr>
          <w:p w14:paraId="3628BAA5">
            <w:pPr>
              <w:keepNext w:val="0"/>
              <w:keepLines w:val="0"/>
              <w:pageBreakBefore w:val="0"/>
              <w:widowControl w:val="0"/>
              <w:kinsoku/>
              <w:wordWrap/>
              <w:overflowPunct/>
              <w:topLinePunct w:val="0"/>
              <w:autoSpaceDE/>
              <w:autoSpaceDN/>
              <w:bidi w:val="0"/>
              <w:adjustRightInd/>
              <w:snapToGrid w:val="0"/>
              <w:spacing w:line="360" w:lineRule="auto"/>
              <w:textAlignment w:val="auto"/>
              <w:rPr>
                <w:color w:val="auto"/>
                <w:highlight w:val="none"/>
              </w:rPr>
            </w:pPr>
            <w:r>
              <w:rPr>
                <w:b/>
                <w:color w:val="auto"/>
                <w:highlight w:val="none"/>
              </w:rPr>
              <w:t xml:space="preserve">3.2.1  </w:t>
            </w:r>
            <w:r>
              <w:rPr>
                <w:color w:val="auto"/>
                <w:highlight w:val="none"/>
              </w:rPr>
              <w:t>块体材料的外型尺寸除应符合建筑模数</w:t>
            </w:r>
            <w:r>
              <w:rPr>
                <w:rFonts w:hint="eastAsia"/>
                <w:color w:val="auto"/>
                <w:highlight w:val="none"/>
                <w:lang w:val="en-US" w:eastAsia="zh-CN"/>
              </w:rPr>
              <w:t>要求</w:t>
            </w:r>
            <w:r>
              <w:rPr>
                <w:color w:val="auto"/>
                <w:highlight w:val="none"/>
              </w:rPr>
              <w:t xml:space="preserve">外，尚应符合下列规定： </w:t>
            </w:r>
          </w:p>
          <w:p w14:paraId="594D18A0">
            <w:pPr>
              <w:keepNext w:val="0"/>
              <w:keepLines w:val="0"/>
              <w:pageBreakBefore w:val="0"/>
              <w:widowControl w:val="0"/>
              <w:kinsoku/>
              <w:wordWrap/>
              <w:overflowPunct/>
              <w:topLinePunct w:val="0"/>
              <w:autoSpaceDE/>
              <w:autoSpaceDN/>
              <w:bidi w:val="0"/>
              <w:adjustRightInd/>
              <w:snapToGrid w:val="0"/>
              <w:spacing w:line="360" w:lineRule="auto"/>
              <w:ind w:firstLine="417" w:firstLineChars="198"/>
              <w:textAlignment w:val="auto"/>
              <w:rPr>
                <w:color w:val="auto"/>
                <w:highlight w:val="none"/>
              </w:rPr>
            </w:pPr>
            <w:r>
              <w:rPr>
                <w:b/>
                <w:color w:val="auto"/>
                <w:highlight w:val="none"/>
                <w:bdr w:val="single" w:sz="4" w:space="0"/>
              </w:rPr>
              <w:t xml:space="preserve">1  </w:t>
            </w:r>
            <w:r>
              <w:rPr>
                <w:rFonts w:hint="eastAsia" w:ascii="黑体" w:hAnsi="黑体" w:eastAsia="黑体" w:cs="黑体"/>
                <w:b/>
                <w:bCs/>
                <w:color w:val="auto"/>
                <w:highlight w:val="none"/>
                <w:bdr w:val="single" w:sz="4" w:space="0"/>
              </w:rPr>
              <w:t>非烧结含孔块材的孔洞率、壁及肋厚度等应符合表3.2.1的要求；</w:t>
            </w:r>
          </w:p>
          <w:p w14:paraId="349096E6">
            <w:pPr>
              <w:ind w:firstLine="417" w:firstLineChars="198"/>
              <w:rPr>
                <w:color w:val="auto"/>
                <w:highlight w:val="none"/>
              </w:rPr>
            </w:pPr>
            <w:r>
              <w:rPr>
                <w:b/>
                <w:color w:val="auto"/>
                <w:highlight w:val="none"/>
                <w:u w:val="single"/>
              </w:rPr>
              <w:t>1</w:t>
            </w:r>
            <w:r>
              <w:rPr>
                <w:b/>
                <w:color w:val="auto"/>
                <w:highlight w:val="none"/>
              </w:rPr>
              <w:t xml:space="preserve"> </w:t>
            </w:r>
            <w:r>
              <w:rPr>
                <w:rFonts w:hint="eastAsia"/>
                <w:color w:val="auto"/>
                <w:highlight w:val="none"/>
                <w:u w:val="single"/>
              </w:rPr>
              <w:t>块体</w:t>
            </w:r>
            <w:r>
              <w:rPr>
                <w:color w:val="auto"/>
                <w:highlight w:val="none"/>
                <w:u w:val="single"/>
              </w:rPr>
              <w:t>孔洞率、壁及肋厚度等应符合表3.2.1</w:t>
            </w:r>
            <w:r>
              <w:rPr>
                <w:rFonts w:hint="eastAsia"/>
                <w:color w:val="auto"/>
                <w:highlight w:val="none"/>
                <w:u w:val="single"/>
                <w:lang w:val="en-US" w:eastAsia="zh-CN"/>
              </w:rPr>
              <w:t>A</w:t>
            </w:r>
            <w:r>
              <w:rPr>
                <w:color w:val="auto"/>
                <w:highlight w:val="none"/>
                <w:u w:val="single"/>
              </w:rPr>
              <w:t>的要求；</w:t>
            </w:r>
          </w:p>
          <w:p w14:paraId="654A9B42">
            <w:pPr>
              <w:keepNext w:val="0"/>
              <w:keepLines w:val="0"/>
              <w:pageBreakBefore w:val="0"/>
              <w:widowControl w:val="0"/>
              <w:kinsoku/>
              <w:wordWrap/>
              <w:overflowPunct/>
              <w:topLinePunct w:val="0"/>
              <w:autoSpaceDE/>
              <w:autoSpaceDN/>
              <w:bidi w:val="0"/>
              <w:adjustRightInd/>
              <w:snapToGrid w:val="0"/>
              <w:spacing w:line="360" w:lineRule="auto"/>
              <w:ind w:firstLine="417" w:firstLineChars="198"/>
              <w:textAlignment w:val="auto"/>
              <w:outlineLvl w:val="9"/>
              <w:rPr>
                <w:color w:val="auto"/>
                <w:highlight w:val="none"/>
              </w:rPr>
            </w:pPr>
            <w:bookmarkStart w:id="7" w:name="_Toc23315"/>
            <w:r>
              <w:rPr>
                <w:b/>
                <w:color w:val="auto"/>
                <w:highlight w:val="none"/>
              </w:rPr>
              <w:t xml:space="preserve">2  </w:t>
            </w:r>
            <w:r>
              <w:rPr>
                <w:color w:val="auto"/>
                <w:highlight w:val="none"/>
              </w:rPr>
              <w:t>承重烧结多孔砖的孔洞率不应大于35%；</w:t>
            </w:r>
            <w:bookmarkEnd w:id="7"/>
          </w:p>
          <w:p w14:paraId="46591FA6">
            <w:pPr>
              <w:keepNext w:val="0"/>
              <w:keepLines w:val="0"/>
              <w:pageBreakBefore w:val="0"/>
              <w:widowControl w:val="0"/>
              <w:kinsoku/>
              <w:wordWrap/>
              <w:overflowPunct/>
              <w:topLinePunct w:val="0"/>
              <w:autoSpaceDE/>
              <w:autoSpaceDN/>
              <w:bidi w:val="0"/>
              <w:adjustRightInd/>
              <w:snapToGrid w:val="0"/>
              <w:spacing w:line="360" w:lineRule="auto"/>
              <w:ind w:firstLine="417" w:firstLineChars="198"/>
              <w:textAlignment w:val="auto"/>
              <w:rPr>
                <w:rFonts w:ascii="Times New Roman" w:hAnsi="Times New Roman"/>
                <w:bCs/>
                <w:szCs w:val="21"/>
              </w:rPr>
            </w:pPr>
            <w:r>
              <w:rPr>
                <w:b/>
                <w:color w:val="auto"/>
                <w:highlight w:val="none"/>
              </w:rPr>
              <w:t xml:space="preserve">3  </w:t>
            </w:r>
            <w:r>
              <w:rPr>
                <w:color w:val="auto"/>
                <w:highlight w:val="none"/>
              </w:rPr>
              <w:t>承重单排孔混凝土小型空心砌块的孔型，应保证其砌筑时上下皮砌块的孔与孔相对；多孔砖及</w:t>
            </w:r>
            <w:r>
              <w:rPr>
                <w:color w:val="auto"/>
                <w:highlight w:val="none"/>
                <w:bdr w:val="single" w:color="000000" w:sz="4" w:space="0"/>
              </w:rPr>
              <w:t>自承重</w:t>
            </w:r>
            <w:r>
              <w:rPr>
                <w:rFonts w:hint="eastAsia"/>
                <w:color w:val="auto"/>
                <w:highlight w:val="none"/>
                <w:u w:val="single"/>
              </w:rPr>
              <w:t>填充墙</w:t>
            </w:r>
            <w:r>
              <w:rPr>
                <w:color w:val="auto"/>
                <w:highlight w:val="none"/>
              </w:rPr>
              <w:t>单排孔小砌块的孔型宜采用半盲孔；</w:t>
            </w:r>
          </w:p>
        </w:tc>
      </w:tr>
      <w:tr w14:paraId="53B4D0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686" w:type="dxa"/>
            <w:vAlign w:val="center"/>
          </w:tcPr>
          <w:p w14:paraId="2AFC96AC">
            <w:pPr>
              <w:ind w:firstLine="361" w:firstLineChars="200"/>
              <w:rPr>
                <w:b/>
                <w:bCs w:val="0"/>
                <w:color w:val="auto"/>
                <w:sz w:val="18"/>
                <w:szCs w:val="18"/>
                <w:highlight w:val="none"/>
              </w:rPr>
            </w:pPr>
            <w:r>
              <w:rPr>
                <w:rFonts w:hint="eastAsia" w:ascii="黑体" w:hAnsi="黑体" w:eastAsia="黑体" w:cs="黑体"/>
                <w:b/>
                <w:bCs w:val="0"/>
                <w:color w:val="auto"/>
                <w:sz w:val="18"/>
                <w:szCs w:val="18"/>
                <w:highlight w:val="none"/>
              </w:rPr>
              <w:t>表</w:t>
            </w:r>
            <w:r>
              <w:rPr>
                <w:b/>
                <w:bCs w:val="0"/>
                <w:color w:val="auto"/>
                <w:sz w:val="18"/>
                <w:szCs w:val="18"/>
                <w:highlight w:val="none"/>
              </w:rPr>
              <w:t xml:space="preserve">3.2.1 </w:t>
            </w:r>
            <w:r>
              <w:rPr>
                <w:rFonts w:hint="eastAsia"/>
                <w:b/>
                <w:bCs w:val="0"/>
                <w:color w:val="auto"/>
                <w:sz w:val="18"/>
                <w:szCs w:val="18"/>
                <w:highlight w:val="none"/>
                <w:lang w:val="en-US" w:eastAsia="zh-CN"/>
              </w:rPr>
              <w:t xml:space="preserve"> </w:t>
            </w:r>
            <w:r>
              <w:rPr>
                <w:rFonts w:hint="eastAsia" w:ascii="黑体" w:hAnsi="黑体" w:eastAsia="黑体" w:cs="黑体"/>
                <w:b/>
                <w:bCs w:val="0"/>
                <w:color w:val="auto"/>
                <w:sz w:val="18"/>
                <w:szCs w:val="18"/>
                <w:highlight w:val="none"/>
                <w:lang w:val="en-US" w:eastAsia="zh-CN"/>
              </w:rPr>
              <w:t>非烧结</w:t>
            </w:r>
            <w:r>
              <w:rPr>
                <w:rFonts w:hint="eastAsia" w:ascii="黑体" w:hAnsi="黑体" w:eastAsia="黑体" w:cs="黑体"/>
                <w:b/>
                <w:bCs w:val="0"/>
                <w:color w:val="auto"/>
                <w:sz w:val="18"/>
                <w:szCs w:val="18"/>
                <w:highlight w:val="none"/>
              </w:rPr>
              <w:t>含孔块材的孔洞率、壁及肋厚度要求</w:t>
            </w:r>
          </w:p>
          <w:tbl>
            <w:tblPr>
              <w:tblStyle w:val="7"/>
              <w:tblW w:w="4453" w:type="dxa"/>
              <w:tblInd w:w="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0"/>
              <w:gridCol w:w="1173"/>
              <w:gridCol w:w="572"/>
              <w:gridCol w:w="478"/>
              <w:gridCol w:w="613"/>
              <w:gridCol w:w="1167"/>
            </w:tblGrid>
            <w:tr w14:paraId="1461A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3" w:type="dxa"/>
                  <w:gridSpan w:val="2"/>
                  <w:noWrap w:val="0"/>
                  <w:vAlign w:val="center"/>
                </w:tcPr>
                <w:p w14:paraId="7F386C36">
                  <w:pPr>
                    <w:jc w:val="center"/>
                    <w:rPr>
                      <w:rFonts w:hint="eastAsia" w:ascii="黑体" w:hAnsi="黑体" w:eastAsia="黑体" w:cs="黑体"/>
                      <w:b/>
                      <w:bCs w:val="0"/>
                      <w:color w:val="auto"/>
                      <w:sz w:val="18"/>
                      <w:szCs w:val="18"/>
                      <w:highlight w:val="none"/>
                    </w:rPr>
                  </w:pPr>
                  <w:r>
                    <w:rPr>
                      <w:rFonts w:hint="eastAsia" w:ascii="黑体" w:hAnsi="黑体" w:eastAsia="黑体" w:cs="黑体"/>
                      <w:b/>
                      <w:bCs w:val="0"/>
                      <w:color w:val="auto"/>
                      <w:sz w:val="18"/>
                      <w:szCs w:val="18"/>
                      <w:highlight w:val="none"/>
                    </w:rPr>
                    <w:t>块体材料类型及用途</w:t>
                  </w:r>
                </w:p>
              </w:tc>
              <w:tc>
                <w:tcPr>
                  <w:tcW w:w="572" w:type="dxa"/>
                  <w:noWrap w:val="0"/>
                  <w:vAlign w:val="center"/>
                </w:tcPr>
                <w:p w14:paraId="2C8C03C7">
                  <w:pPr>
                    <w:jc w:val="center"/>
                    <w:rPr>
                      <w:rFonts w:hint="eastAsia" w:ascii="黑体" w:hAnsi="黑体" w:eastAsia="黑体" w:cs="黑体"/>
                      <w:b/>
                      <w:bCs w:val="0"/>
                      <w:color w:val="auto"/>
                      <w:sz w:val="18"/>
                      <w:szCs w:val="18"/>
                      <w:highlight w:val="none"/>
                    </w:rPr>
                  </w:pPr>
                  <w:r>
                    <w:rPr>
                      <w:rFonts w:hint="eastAsia" w:ascii="黑体" w:hAnsi="黑体" w:eastAsia="黑体" w:cs="黑体"/>
                      <w:b/>
                      <w:bCs w:val="0"/>
                      <w:color w:val="auto"/>
                      <w:sz w:val="18"/>
                      <w:szCs w:val="18"/>
                      <w:highlight w:val="none"/>
                    </w:rPr>
                    <w:t>孔洞率（％）</w:t>
                  </w:r>
                </w:p>
              </w:tc>
              <w:tc>
                <w:tcPr>
                  <w:tcW w:w="478" w:type="dxa"/>
                  <w:noWrap w:val="0"/>
                  <w:vAlign w:val="center"/>
                </w:tcPr>
                <w:p w14:paraId="0B57D495">
                  <w:pPr>
                    <w:jc w:val="center"/>
                    <w:rPr>
                      <w:rFonts w:hint="eastAsia" w:ascii="黑体" w:hAnsi="黑体" w:eastAsia="黑体" w:cs="黑体"/>
                      <w:b/>
                      <w:bCs w:val="0"/>
                      <w:color w:val="auto"/>
                      <w:sz w:val="18"/>
                      <w:szCs w:val="18"/>
                      <w:highlight w:val="none"/>
                    </w:rPr>
                  </w:pPr>
                  <w:r>
                    <w:rPr>
                      <w:rFonts w:hint="eastAsia" w:ascii="黑体" w:hAnsi="黑体" w:eastAsia="黑体" w:cs="黑体"/>
                      <w:b/>
                      <w:bCs w:val="0"/>
                      <w:color w:val="auto"/>
                      <w:sz w:val="18"/>
                      <w:szCs w:val="18"/>
                      <w:highlight w:val="none"/>
                    </w:rPr>
                    <w:t>最小外壁（mm）</w:t>
                  </w:r>
                </w:p>
              </w:tc>
              <w:tc>
                <w:tcPr>
                  <w:tcW w:w="613" w:type="dxa"/>
                  <w:noWrap w:val="0"/>
                  <w:vAlign w:val="center"/>
                </w:tcPr>
                <w:p w14:paraId="67E2C623">
                  <w:pPr>
                    <w:jc w:val="center"/>
                    <w:rPr>
                      <w:rFonts w:hint="eastAsia" w:ascii="黑体" w:hAnsi="黑体" w:eastAsia="黑体" w:cs="黑体"/>
                      <w:b/>
                      <w:bCs w:val="0"/>
                      <w:color w:val="auto"/>
                      <w:sz w:val="18"/>
                      <w:szCs w:val="18"/>
                      <w:highlight w:val="none"/>
                    </w:rPr>
                  </w:pPr>
                  <w:r>
                    <w:rPr>
                      <w:rFonts w:hint="eastAsia" w:ascii="黑体" w:hAnsi="黑体" w:eastAsia="黑体" w:cs="黑体"/>
                      <w:b/>
                      <w:bCs w:val="0"/>
                      <w:color w:val="auto"/>
                      <w:sz w:val="18"/>
                      <w:szCs w:val="18"/>
                      <w:highlight w:val="none"/>
                    </w:rPr>
                    <w:t>最小肋厚（mm）</w:t>
                  </w:r>
                </w:p>
              </w:tc>
              <w:tc>
                <w:tcPr>
                  <w:tcW w:w="1167" w:type="dxa"/>
                  <w:noWrap w:val="0"/>
                  <w:vAlign w:val="center"/>
                </w:tcPr>
                <w:p w14:paraId="6EA75AE9">
                  <w:pPr>
                    <w:jc w:val="center"/>
                    <w:rPr>
                      <w:rFonts w:hint="eastAsia" w:ascii="黑体" w:hAnsi="黑体" w:eastAsia="黑体" w:cs="黑体"/>
                      <w:b/>
                      <w:bCs w:val="0"/>
                      <w:color w:val="auto"/>
                      <w:sz w:val="18"/>
                      <w:szCs w:val="18"/>
                      <w:highlight w:val="none"/>
                    </w:rPr>
                  </w:pPr>
                  <w:r>
                    <w:rPr>
                      <w:rFonts w:hint="eastAsia" w:ascii="黑体" w:hAnsi="黑体" w:eastAsia="黑体" w:cs="黑体"/>
                      <w:b/>
                      <w:bCs w:val="0"/>
                      <w:color w:val="auto"/>
                      <w:sz w:val="18"/>
                      <w:szCs w:val="18"/>
                      <w:highlight w:val="none"/>
                    </w:rPr>
                    <w:t>其它要求</w:t>
                  </w:r>
                </w:p>
              </w:tc>
            </w:tr>
            <w:tr w14:paraId="42AAC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 w:type="dxa"/>
                  <w:vMerge w:val="restart"/>
                  <w:noWrap w:val="0"/>
                  <w:vAlign w:val="center"/>
                </w:tcPr>
                <w:p w14:paraId="131930F1">
                  <w:pPr>
                    <w:jc w:val="center"/>
                    <w:rPr>
                      <w:rFonts w:hint="eastAsia" w:ascii="黑体" w:hAnsi="黑体" w:eastAsia="黑体" w:cs="黑体"/>
                      <w:b/>
                      <w:bCs w:val="0"/>
                      <w:color w:val="auto"/>
                      <w:sz w:val="18"/>
                      <w:szCs w:val="18"/>
                      <w:highlight w:val="none"/>
                    </w:rPr>
                  </w:pPr>
                  <w:r>
                    <w:rPr>
                      <w:rFonts w:hint="eastAsia" w:ascii="黑体" w:hAnsi="黑体" w:eastAsia="黑体" w:cs="黑体"/>
                      <w:b/>
                      <w:bCs w:val="0"/>
                      <w:color w:val="auto"/>
                      <w:sz w:val="18"/>
                      <w:szCs w:val="18"/>
                      <w:highlight w:val="none"/>
                    </w:rPr>
                    <w:t>含孔砖</w:t>
                  </w:r>
                </w:p>
              </w:tc>
              <w:tc>
                <w:tcPr>
                  <w:tcW w:w="1173" w:type="dxa"/>
                  <w:noWrap w:val="0"/>
                  <w:vAlign w:val="center"/>
                </w:tcPr>
                <w:p w14:paraId="4B4C172D">
                  <w:pPr>
                    <w:jc w:val="both"/>
                    <w:rPr>
                      <w:rFonts w:hint="eastAsia" w:ascii="黑体" w:hAnsi="黑体" w:eastAsia="黑体" w:cs="黑体"/>
                      <w:b/>
                      <w:bCs w:val="0"/>
                      <w:color w:val="auto"/>
                      <w:sz w:val="18"/>
                      <w:szCs w:val="18"/>
                      <w:highlight w:val="none"/>
                      <w:lang w:val="en-US" w:eastAsia="zh-CN"/>
                    </w:rPr>
                  </w:pPr>
                  <w:r>
                    <w:rPr>
                      <w:rFonts w:hint="eastAsia" w:ascii="黑体" w:hAnsi="黑体" w:eastAsia="黑体" w:cs="黑体"/>
                      <w:b/>
                      <w:bCs w:val="0"/>
                      <w:color w:val="auto"/>
                      <w:sz w:val="18"/>
                      <w:szCs w:val="18"/>
                      <w:highlight w:val="none"/>
                    </w:rPr>
                    <w:t>用于承重墙</w:t>
                  </w:r>
                </w:p>
              </w:tc>
              <w:tc>
                <w:tcPr>
                  <w:tcW w:w="572" w:type="dxa"/>
                  <w:noWrap w:val="0"/>
                  <w:vAlign w:val="center"/>
                </w:tcPr>
                <w:p w14:paraId="512F2CD5">
                  <w:pPr>
                    <w:jc w:val="center"/>
                    <w:rPr>
                      <w:b/>
                      <w:bCs w:val="0"/>
                      <w:color w:val="auto"/>
                      <w:sz w:val="18"/>
                      <w:szCs w:val="18"/>
                      <w:highlight w:val="none"/>
                    </w:rPr>
                  </w:pPr>
                  <w:r>
                    <w:rPr>
                      <w:b/>
                      <w:bCs w:val="0"/>
                      <w:color w:val="auto"/>
                      <w:sz w:val="18"/>
                      <w:szCs w:val="18"/>
                      <w:highlight w:val="none"/>
                    </w:rPr>
                    <w:t>≤ 35</w:t>
                  </w:r>
                </w:p>
              </w:tc>
              <w:tc>
                <w:tcPr>
                  <w:tcW w:w="478" w:type="dxa"/>
                  <w:noWrap w:val="0"/>
                  <w:vAlign w:val="center"/>
                </w:tcPr>
                <w:p w14:paraId="4D20AF1A">
                  <w:pPr>
                    <w:jc w:val="center"/>
                    <w:rPr>
                      <w:b/>
                      <w:bCs w:val="0"/>
                      <w:color w:val="auto"/>
                      <w:sz w:val="18"/>
                      <w:szCs w:val="18"/>
                      <w:highlight w:val="none"/>
                    </w:rPr>
                  </w:pPr>
                  <w:r>
                    <w:rPr>
                      <w:b/>
                      <w:bCs w:val="0"/>
                      <w:color w:val="auto"/>
                      <w:sz w:val="18"/>
                      <w:szCs w:val="18"/>
                      <w:highlight w:val="none"/>
                    </w:rPr>
                    <w:t>15</w:t>
                  </w:r>
                </w:p>
              </w:tc>
              <w:tc>
                <w:tcPr>
                  <w:tcW w:w="613" w:type="dxa"/>
                  <w:noWrap w:val="0"/>
                  <w:vAlign w:val="center"/>
                </w:tcPr>
                <w:p w14:paraId="72699B0C">
                  <w:pPr>
                    <w:jc w:val="center"/>
                    <w:rPr>
                      <w:b/>
                      <w:bCs w:val="0"/>
                      <w:color w:val="auto"/>
                      <w:sz w:val="18"/>
                      <w:szCs w:val="18"/>
                      <w:highlight w:val="none"/>
                    </w:rPr>
                  </w:pPr>
                  <w:r>
                    <w:rPr>
                      <w:b/>
                      <w:bCs w:val="0"/>
                      <w:color w:val="auto"/>
                      <w:sz w:val="18"/>
                      <w:szCs w:val="18"/>
                      <w:highlight w:val="none"/>
                    </w:rPr>
                    <w:t>15</w:t>
                  </w:r>
                </w:p>
              </w:tc>
              <w:tc>
                <w:tcPr>
                  <w:tcW w:w="1167" w:type="dxa"/>
                  <w:noWrap w:val="0"/>
                  <w:vAlign w:val="center"/>
                </w:tcPr>
                <w:p w14:paraId="777CC0E3">
                  <w:pPr>
                    <w:jc w:val="center"/>
                    <w:rPr>
                      <w:rFonts w:hint="eastAsia" w:ascii="黑体" w:hAnsi="黑体" w:eastAsia="黑体" w:cs="黑体"/>
                      <w:b/>
                      <w:bCs w:val="0"/>
                      <w:color w:val="auto"/>
                      <w:sz w:val="18"/>
                      <w:szCs w:val="18"/>
                      <w:highlight w:val="none"/>
                    </w:rPr>
                  </w:pPr>
                  <w:r>
                    <w:rPr>
                      <w:rFonts w:hint="eastAsia" w:ascii="黑体" w:hAnsi="黑体" w:eastAsia="黑体" w:cs="黑体"/>
                      <w:b/>
                      <w:bCs w:val="0"/>
                      <w:color w:val="auto"/>
                      <w:sz w:val="18"/>
                      <w:szCs w:val="18"/>
                      <w:highlight w:val="none"/>
                    </w:rPr>
                    <w:t>孔的长度和宽度比应小于</w:t>
                  </w:r>
                  <w:r>
                    <w:rPr>
                      <w:rFonts w:hint="eastAsia"/>
                      <w:b/>
                      <w:bCs w:val="0"/>
                      <w:color w:val="auto"/>
                      <w:sz w:val="18"/>
                      <w:szCs w:val="18"/>
                      <w:highlight w:val="none"/>
                    </w:rPr>
                    <w:t>2</w:t>
                  </w:r>
                </w:p>
              </w:tc>
            </w:tr>
            <w:tr w14:paraId="7AA9D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 w:type="dxa"/>
                  <w:vMerge w:val="continue"/>
                  <w:noWrap w:val="0"/>
                  <w:vAlign w:val="center"/>
                </w:tcPr>
                <w:p w14:paraId="3F3659EB">
                  <w:pPr>
                    <w:jc w:val="center"/>
                    <w:rPr>
                      <w:rFonts w:hint="eastAsia" w:ascii="黑体" w:hAnsi="黑体" w:eastAsia="黑体" w:cs="黑体"/>
                      <w:b/>
                      <w:bCs w:val="0"/>
                      <w:color w:val="auto"/>
                      <w:sz w:val="18"/>
                      <w:szCs w:val="18"/>
                      <w:highlight w:val="none"/>
                    </w:rPr>
                  </w:pPr>
                </w:p>
              </w:tc>
              <w:tc>
                <w:tcPr>
                  <w:tcW w:w="1173" w:type="dxa"/>
                  <w:noWrap w:val="0"/>
                  <w:vAlign w:val="center"/>
                </w:tcPr>
                <w:p w14:paraId="3EAD1AD0">
                  <w:pPr>
                    <w:jc w:val="both"/>
                    <w:rPr>
                      <w:rFonts w:hint="eastAsia" w:ascii="黑体" w:hAnsi="黑体" w:eastAsia="黑体" w:cs="黑体"/>
                      <w:b/>
                      <w:bCs w:val="0"/>
                      <w:color w:val="auto"/>
                      <w:sz w:val="18"/>
                      <w:szCs w:val="18"/>
                      <w:highlight w:val="none"/>
                    </w:rPr>
                  </w:pPr>
                  <w:r>
                    <w:rPr>
                      <w:rFonts w:hint="eastAsia" w:ascii="黑体" w:hAnsi="黑体" w:eastAsia="黑体" w:cs="黑体"/>
                      <w:b/>
                      <w:bCs w:val="0"/>
                      <w:color w:val="auto"/>
                      <w:sz w:val="18"/>
                      <w:szCs w:val="18"/>
                      <w:highlight w:val="none"/>
                    </w:rPr>
                    <w:t>用于自承重墙</w:t>
                  </w:r>
                </w:p>
              </w:tc>
              <w:tc>
                <w:tcPr>
                  <w:tcW w:w="572" w:type="dxa"/>
                  <w:noWrap w:val="0"/>
                  <w:vAlign w:val="center"/>
                </w:tcPr>
                <w:p w14:paraId="0E75120F">
                  <w:pPr>
                    <w:jc w:val="center"/>
                    <w:rPr>
                      <w:b/>
                      <w:bCs w:val="0"/>
                      <w:color w:val="auto"/>
                      <w:sz w:val="18"/>
                      <w:szCs w:val="18"/>
                      <w:highlight w:val="none"/>
                    </w:rPr>
                  </w:pPr>
                  <w:r>
                    <w:rPr>
                      <w:b/>
                      <w:bCs w:val="0"/>
                      <w:color w:val="auto"/>
                      <w:sz w:val="18"/>
                      <w:szCs w:val="18"/>
                      <w:highlight w:val="none"/>
                    </w:rPr>
                    <w:t>—</w:t>
                  </w:r>
                </w:p>
              </w:tc>
              <w:tc>
                <w:tcPr>
                  <w:tcW w:w="478" w:type="dxa"/>
                  <w:noWrap w:val="0"/>
                  <w:vAlign w:val="center"/>
                </w:tcPr>
                <w:p w14:paraId="113E140E">
                  <w:pPr>
                    <w:jc w:val="center"/>
                    <w:rPr>
                      <w:b/>
                      <w:bCs w:val="0"/>
                      <w:color w:val="auto"/>
                      <w:sz w:val="18"/>
                      <w:szCs w:val="18"/>
                      <w:highlight w:val="none"/>
                    </w:rPr>
                  </w:pPr>
                  <w:r>
                    <w:rPr>
                      <w:b/>
                      <w:bCs w:val="0"/>
                      <w:color w:val="auto"/>
                      <w:sz w:val="18"/>
                      <w:szCs w:val="18"/>
                      <w:highlight w:val="none"/>
                    </w:rPr>
                    <w:t>10</w:t>
                  </w:r>
                </w:p>
              </w:tc>
              <w:tc>
                <w:tcPr>
                  <w:tcW w:w="613" w:type="dxa"/>
                  <w:noWrap w:val="0"/>
                  <w:vAlign w:val="center"/>
                </w:tcPr>
                <w:p w14:paraId="1E2F1A1B">
                  <w:pPr>
                    <w:jc w:val="center"/>
                    <w:rPr>
                      <w:b/>
                      <w:bCs w:val="0"/>
                      <w:color w:val="auto"/>
                      <w:sz w:val="18"/>
                      <w:szCs w:val="18"/>
                      <w:highlight w:val="none"/>
                    </w:rPr>
                  </w:pPr>
                  <w:r>
                    <w:rPr>
                      <w:b/>
                      <w:bCs w:val="0"/>
                      <w:color w:val="auto"/>
                      <w:sz w:val="18"/>
                      <w:szCs w:val="18"/>
                      <w:highlight w:val="none"/>
                    </w:rPr>
                    <w:t>10</w:t>
                  </w:r>
                </w:p>
              </w:tc>
              <w:tc>
                <w:tcPr>
                  <w:tcW w:w="1167" w:type="dxa"/>
                  <w:noWrap w:val="0"/>
                  <w:vAlign w:val="center"/>
                </w:tcPr>
                <w:p w14:paraId="001A4089">
                  <w:pPr>
                    <w:jc w:val="center"/>
                    <w:rPr>
                      <w:rFonts w:hint="eastAsia" w:ascii="黑体" w:hAnsi="黑体" w:eastAsia="黑体" w:cs="黑体"/>
                      <w:b/>
                      <w:bCs w:val="0"/>
                      <w:color w:val="auto"/>
                      <w:sz w:val="18"/>
                      <w:szCs w:val="18"/>
                      <w:highlight w:val="none"/>
                    </w:rPr>
                  </w:pPr>
                  <w:r>
                    <w:rPr>
                      <w:rFonts w:hint="eastAsia" w:ascii="黑体" w:hAnsi="黑体" w:eastAsia="黑体" w:cs="黑体"/>
                      <w:b/>
                      <w:bCs w:val="0"/>
                      <w:color w:val="auto"/>
                      <w:sz w:val="18"/>
                      <w:szCs w:val="18"/>
                      <w:highlight w:val="none"/>
                    </w:rPr>
                    <w:t>—</w:t>
                  </w:r>
                </w:p>
              </w:tc>
            </w:tr>
            <w:tr w14:paraId="4B765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 w:type="dxa"/>
                  <w:vMerge w:val="restart"/>
                  <w:noWrap w:val="0"/>
                  <w:vAlign w:val="center"/>
                </w:tcPr>
                <w:p w14:paraId="57292A0F">
                  <w:pPr>
                    <w:jc w:val="center"/>
                    <w:rPr>
                      <w:rFonts w:hint="eastAsia" w:ascii="黑体" w:hAnsi="黑体" w:eastAsia="黑体" w:cs="黑体"/>
                      <w:b/>
                      <w:bCs w:val="0"/>
                      <w:color w:val="auto"/>
                      <w:sz w:val="18"/>
                      <w:szCs w:val="18"/>
                      <w:highlight w:val="none"/>
                      <w:u w:val="single"/>
                      <w:lang w:val="en-US" w:eastAsia="zh-CN"/>
                    </w:rPr>
                  </w:pPr>
                </w:p>
                <w:p w14:paraId="19554B3B">
                  <w:pPr>
                    <w:jc w:val="center"/>
                    <w:rPr>
                      <w:rFonts w:hint="eastAsia" w:ascii="黑体" w:hAnsi="黑体" w:eastAsia="黑体" w:cs="黑体"/>
                      <w:b/>
                      <w:bCs w:val="0"/>
                      <w:color w:val="auto"/>
                      <w:sz w:val="18"/>
                      <w:szCs w:val="18"/>
                      <w:highlight w:val="none"/>
                    </w:rPr>
                  </w:pPr>
                  <w:r>
                    <w:rPr>
                      <w:rFonts w:hint="eastAsia" w:ascii="黑体" w:hAnsi="黑体" w:eastAsia="黑体" w:cs="黑体"/>
                      <w:b/>
                      <w:bCs w:val="0"/>
                      <w:color w:val="auto"/>
                      <w:sz w:val="18"/>
                      <w:szCs w:val="18"/>
                      <w:highlight w:val="none"/>
                    </w:rPr>
                    <w:t>砌 块</w:t>
                  </w:r>
                </w:p>
              </w:tc>
              <w:tc>
                <w:tcPr>
                  <w:tcW w:w="1173" w:type="dxa"/>
                  <w:noWrap w:val="0"/>
                  <w:vAlign w:val="center"/>
                </w:tcPr>
                <w:p w14:paraId="3B937BC1">
                  <w:pPr>
                    <w:jc w:val="both"/>
                    <w:rPr>
                      <w:rFonts w:hint="eastAsia" w:ascii="黑体" w:hAnsi="黑体" w:eastAsia="黑体" w:cs="黑体"/>
                      <w:b/>
                      <w:bCs w:val="0"/>
                      <w:color w:val="auto"/>
                      <w:sz w:val="18"/>
                      <w:szCs w:val="18"/>
                      <w:highlight w:val="none"/>
                    </w:rPr>
                  </w:pPr>
                  <w:r>
                    <w:rPr>
                      <w:rFonts w:hint="eastAsia" w:ascii="黑体" w:hAnsi="黑体" w:eastAsia="黑体" w:cs="黑体"/>
                      <w:b/>
                      <w:bCs w:val="0"/>
                      <w:color w:val="auto"/>
                      <w:sz w:val="18"/>
                      <w:szCs w:val="18"/>
                      <w:highlight w:val="none"/>
                    </w:rPr>
                    <w:t>用于承重墙</w:t>
                  </w:r>
                </w:p>
              </w:tc>
              <w:tc>
                <w:tcPr>
                  <w:tcW w:w="572" w:type="dxa"/>
                  <w:noWrap w:val="0"/>
                  <w:vAlign w:val="center"/>
                </w:tcPr>
                <w:p w14:paraId="7FAC873F">
                  <w:pPr>
                    <w:jc w:val="center"/>
                    <w:rPr>
                      <w:b/>
                      <w:bCs w:val="0"/>
                      <w:color w:val="auto"/>
                      <w:sz w:val="18"/>
                      <w:szCs w:val="18"/>
                      <w:highlight w:val="none"/>
                    </w:rPr>
                  </w:pPr>
                  <w:r>
                    <w:rPr>
                      <w:b/>
                      <w:bCs w:val="0"/>
                      <w:color w:val="auto"/>
                      <w:sz w:val="18"/>
                      <w:szCs w:val="18"/>
                      <w:highlight w:val="none"/>
                    </w:rPr>
                    <w:t>≤ 47</w:t>
                  </w:r>
                </w:p>
              </w:tc>
              <w:tc>
                <w:tcPr>
                  <w:tcW w:w="478" w:type="dxa"/>
                  <w:noWrap w:val="0"/>
                  <w:vAlign w:val="center"/>
                </w:tcPr>
                <w:p w14:paraId="7D1A07BF">
                  <w:pPr>
                    <w:jc w:val="center"/>
                    <w:rPr>
                      <w:b/>
                      <w:bCs w:val="0"/>
                      <w:color w:val="auto"/>
                      <w:sz w:val="18"/>
                      <w:szCs w:val="18"/>
                      <w:highlight w:val="none"/>
                    </w:rPr>
                  </w:pPr>
                  <w:r>
                    <w:rPr>
                      <w:b/>
                      <w:bCs w:val="0"/>
                      <w:color w:val="auto"/>
                      <w:sz w:val="18"/>
                      <w:szCs w:val="18"/>
                      <w:highlight w:val="none"/>
                    </w:rPr>
                    <w:t>30</w:t>
                  </w:r>
                </w:p>
              </w:tc>
              <w:tc>
                <w:tcPr>
                  <w:tcW w:w="613" w:type="dxa"/>
                  <w:noWrap w:val="0"/>
                  <w:vAlign w:val="center"/>
                </w:tcPr>
                <w:p w14:paraId="6B021DA9">
                  <w:pPr>
                    <w:jc w:val="center"/>
                    <w:rPr>
                      <w:b/>
                      <w:bCs w:val="0"/>
                      <w:color w:val="auto"/>
                      <w:sz w:val="18"/>
                      <w:szCs w:val="18"/>
                      <w:highlight w:val="none"/>
                    </w:rPr>
                  </w:pPr>
                  <w:r>
                    <w:rPr>
                      <w:b/>
                      <w:bCs w:val="0"/>
                      <w:color w:val="auto"/>
                      <w:sz w:val="18"/>
                      <w:szCs w:val="18"/>
                      <w:highlight w:val="none"/>
                    </w:rPr>
                    <w:t>25</w:t>
                  </w:r>
                </w:p>
              </w:tc>
              <w:tc>
                <w:tcPr>
                  <w:tcW w:w="1167" w:type="dxa"/>
                  <w:noWrap w:val="0"/>
                  <w:vAlign w:val="center"/>
                </w:tcPr>
                <w:p w14:paraId="29866ED9">
                  <w:pPr>
                    <w:jc w:val="center"/>
                    <w:rPr>
                      <w:rFonts w:hint="eastAsia" w:ascii="黑体" w:hAnsi="黑体" w:eastAsia="黑体" w:cs="黑体"/>
                      <w:b/>
                      <w:bCs w:val="0"/>
                      <w:color w:val="auto"/>
                      <w:sz w:val="18"/>
                      <w:szCs w:val="18"/>
                      <w:highlight w:val="none"/>
                    </w:rPr>
                  </w:pPr>
                  <w:r>
                    <w:rPr>
                      <w:rFonts w:hint="eastAsia" w:ascii="黑体" w:hAnsi="黑体" w:eastAsia="黑体" w:cs="黑体"/>
                      <w:b/>
                      <w:bCs w:val="0"/>
                      <w:color w:val="auto"/>
                      <w:sz w:val="18"/>
                      <w:szCs w:val="18"/>
                      <w:highlight w:val="none"/>
                    </w:rPr>
                    <w:t>孔的圆角半径应不小于</w:t>
                  </w:r>
                  <w:r>
                    <w:rPr>
                      <w:rFonts w:hint="default" w:ascii="Times New Roman" w:hAnsi="Times New Roman" w:eastAsia="黑体" w:cs="Times New Roman"/>
                      <w:b/>
                      <w:bCs w:val="0"/>
                      <w:color w:val="auto"/>
                      <w:sz w:val="18"/>
                      <w:szCs w:val="18"/>
                      <w:highlight w:val="none"/>
                    </w:rPr>
                    <w:t>20</w:t>
                  </w:r>
                  <w:r>
                    <w:rPr>
                      <w:rFonts w:hint="eastAsia" w:ascii="黑体" w:hAnsi="黑体" w:eastAsia="黑体" w:cs="黑体"/>
                      <w:b/>
                      <w:bCs w:val="0"/>
                      <w:color w:val="auto"/>
                      <w:sz w:val="18"/>
                      <w:szCs w:val="18"/>
                      <w:highlight w:val="none"/>
                    </w:rPr>
                    <w:t xml:space="preserve"> mm</w:t>
                  </w:r>
                </w:p>
              </w:tc>
            </w:tr>
            <w:tr w14:paraId="3B4B7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 w:type="dxa"/>
                  <w:vMerge w:val="continue"/>
                  <w:noWrap w:val="0"/>
                  <w:vAlign w:val="center"/>
                </w:tcPr>
                <w:p w14:paraId="416953C8">
                  <w:pPr>
                    <w:jc w:val="center"/>
                    <w:rPr>
                      <w:rFonts w:hint="eastAsia" w:ascii="黑体" w:hAnsi="黑体" w:eastAsia="黑体" w:cs="黑体"/>
                      <w:b/>
                      <w:bCs w:val="0"/>
                      <w:color w:val="auto"/>
                      <w:sz w:val="18"/>
                      <w:szCs w:val="18"/>
                      <w:highlight w:val="none"/>
                    </w:rPr>
                  </w:pPr>
                </w:p>
              </w:tc>
              <w:tc>
                <w:tcPr>
                  <w:tcW w:w="1173" w:type="dxa"/>
                  <w:noWrap w:val="0"/>
                  <w:vAlign w:val="center"/>
                </w:tcPr>
                <w:p w14:paraId="164CC69B">
                  <w:pPr>
                    <w:jc w:val="both"/>
                    <w:rPr>
                      <w:rFonts w:hint="eastAsia" w:ascii="黑体" w:hAnsi="黑体" w:eastAsia="黑体" w:cs="黑体"/>
                      <w:b/>
                      <w:bCs w:val="0"/>
                      <w:color w:val="auto"/>
                      <w:sz w:val="18"/>
                      <w:szCs w:val="18"/>
                      <w:highlight w:val="none"/>
                    </w:rPr>
                  </w:pPr>
                  <w:r>
                    <w:rPr>
                      <w:rFonts w:hint="eastAsia" w:ascii="黑体" w:hAnsi="黑体" w:eastAsia="黑体" w:cs="黑体"/>
                      <w:b/>
                      <w:bCs w:val="0"/>
                      <w:color w:val="auto"/>
                      <w:sz w:val="18"/>
                      <w:szCs w:val="18"/>
                      <w:highlight w:val="none"/>
                    </w:rPr>
                    <w:t>用于自承重墙</w:t>
                  </w:r>
                </w:p>
              </w:tc>
              <w:tc>
                <w:tcPr>
                  <w:tcW w:w="572" w:type="dxa"/>
                  <w:noWrap w:val="0"/>
                  <w:vAlign w:val="center"/>
                </w:tcPr>
                <w:p w14:paraId="15E9F77E">
                  <w:pPr>
                    <w:jc w:val="center"/>
                    <w:rPr>
                      <w:b/>
                      <w:bCs w:val="0"/>
                      <w:color w:val="auto"/>
                      <w:sz w:val="18"/>
                      <w:szCs w:val="18"/>
                      <w:highlight w:val="none"/>
                    </w:rPr>
                  </w:pPr>
                  <w:r>
                    <w:rPr>
                      <w:b/>
                      <w:bCs w:val="0"/>
                      <w:color w:val="auto"/>
                      <w:sz w:val="18"/>
                      <w:szCs w:val="18"/>
                      <w:highlight w:val="none"/>
                    </w:rPr>
                    <w:t>—</w:t>
                  </w:r>
                </w:p>
              </w:tc>
              <w:tc>
                <w:tcPr>
                  <w:tcW w:w="478" w:type="dxa"/>
                  <w:noWrap w:val="0"/>
                  <w:vAlign w:val="center"/>
                </w:tcPr>
                <w:p w14:paraId="58B3FB25">
                  <w:pPr>
                    <w:jc w:val="center"/>
                    <w:rPr>
                      <w:b/>
                      <w:bCs w:val="0"/>
                      <w:color w:val="auto"/>
                      <w:sz w:val="18"/>
                      <w:szCs w:val="18"/>
                      <w:highlight w:val="none"/>
                    </w:rPr>
                  </w:pPr>
                  <w:r>
                    <w:rPr>
                      <w:b/>
                      <w:bCs w:val="0"/>
                      <w:color w:val="auto"/>
                      <w:sz w:val="18"/>
                      <w:szCs w:val="18"/>
                      <w:highlight w:val="none"/>
                    </w:rPr>
                    <w:t>15</w:t>
                  </w:r>
                </w:p>
              </w:tc>
              <w:tc>
                <w:tcPr>
                  <w:tcW w:w="613" w:type="dxa"/>
                  <w:noWrap w:val="0"/>
                  <w:vAlign w:val="center"/>
                </w:tcPr>
                <w:p w14:paraId="16F60B3A">
                  <w:pPr>
                    <w:jc w:val="center"/>
                    <w:rPr>
                      <w:b/>
                      <w:bCs w:val="0"/>
                      <w:color w:val="auto"/>
                      <w:sz w:val="18"/>
                      <w:szCs w:val="18"/>
                      <w:highlight w:val="none"/>
                    </w:rPr>
                  </w:pPr>
                  <w:r>
                    <w:rPr>
                      <w:b/>
                      <w:bCs w:val="0"/>
                      <w:color w:val="auto"/>
                      <w:sz w:val="18"/>
                      <w:szCs w:val="18"/>
                      <w:highlight w:val="none"/>
                    </w:rPr>
                    <w:t>15</w:t>
                  </w:r>
                </w:p>
              </w:tc>
              <w:tc>
                <w:tcPr>
                  <w:tcW w:w="1167" w:type="dxa"/>
                  <w:noWrap w:val="0"/>
                  <w:vAlign w:val="center"/>
                </w:tcPr>
                <w:p w14:paraId="50D8BE47">
                  <w:pPr>
                    <w:jc w:val="center"/>
                    <w:rPr>
                      <w:b w:val="0"/>
                      <w:bCs/>
                      <w:color w:val="auto"/>
                      <w:sz w:val="18"/>
                      <w:szCs w:val="18"/>
                      <w:highlight w:val="none"/>
                    </w:rPr>
                  </w:pPr>
                  <w:r>
                    <w:rPr>
                      <w:b w:val="0"/>
                      <w:bCs/>
                      <w:color w:val="auto"/>
                      <w:sz w:val="18"/>
                      <w:szCs w:val="18"/>
                      <w:highlight w:val="none"/>
                    </w:rPr>
                    <w:t>—</w:t>
                  </w:r>
                </w:p>
              </w:tc>
            </w:tr>
          </w:tbl>
          <w:p w14:paraId="1697F4C6">
            <w:pPr>
              <w:ind w:left="829" w:leftChars="226" w:hanging="354" w:hangingChars="196"/>
              <w:rPr>
                <w:rFonts w:hint="eastAsia" w:ascii="黑体" w:hAnsi="黑体" w:eastAsia="黑体" w:cs="黑体"/>
                <w:b/>
                <w:color w:val="auto"/>
                <w:sz w:val="18"/>
                <w:szCs w:val="18"/>
                <w:highlight w:val="none"/>
                <w:bdr w:val="single" w:sz="0" w:space="0"/>
                <w:lang w:eastAsia="zh-CN"/>
              </w:rPr>
            </w:pPr>
            <w:r>
              <w:rPr>
                <w:rFonts w:hint="eastAsia" w:ascii="黑体" w:hAnsi="黑体" w:eastAsia="黑体" w:cs="黑体"/>
                <w:b/>
                <w:color w:val="auto"/>
                <w:sz w:val="18"/>
                <w:szCs w:val="18"/>
                <w:highlight w:val="none"/>
                <w:bdr w:val="single" w:sz="0" w:space="0"/>
              </w:rPr>
              <w:t>注： 1  承重墙体的混凝土多孔砖的孔洞应垂直于铺浆面。当孔的长度与宽度比不小于</w:t>
            </w:r>
            <w:r>
              <w:rPr>
                <w:rFonts w:hint="eastAsia" w:ascii="宋体" w:hAnsi="宋体" w:eastAsia="宋体" w:cs="宋体"/>
                <w:b/>
                <w:color w:val="auto"/>
                <w:sz w:val="18"/>
                <w:szCs w:val="18"/>
                <w:highlight w:val="none"/>
                <w:bdr w:val="single" w:sz="0" w:space="0"/>
              </w:rPr>
              <w:t>2</w:t>
            </w:r>
            <w:r>
              <w:rPr>
                <w:rFonts w:hint="eastAsia" w:ascii="黑体" w:hAnsi="黑体" w:eastAsia="黑体" w:cs="黑体"/>
                <w:b/>
                <w:color w:val="auto"/>
                <w:sz w:val="18"/>
                <w:szCs w:val="18"/>
                <w:highlight w:val="none"/>
                <w:bdr w:val="single" w:sz="0" w:space="0"/>
              </w:rPr>
              <w:t>时，外壁的厚度不应小于</w:t>
            </w:r>
            <w:r>
              <w:rPr>
                <w:rFonts w:hint="eastAsia" w:ascii="宋体" w:hAnsi="宋体" w:eastAsia="宋体" w:cs="宋体"/>
                <w:b/>
                <w:color w:val="auto"/>
                <w:sz w:val="18"/>
                <w:szCs w:val="18"/>
                <w:highlight w:val="none"/>
                <w:bdr w:val="single" w:sz="0" w:space="0"/>
              </w:rPr>
              <w:t>18mm</w:t>
            </w:r>
            <w:r>
              <w:rPr>
                <w:rFonts w:hint="eastAsia" w:ascii="黑体" w:hAnsi="黑体" w:eastAsia="黑体" w:cs="黑体"/>
                <w:b/>
                <w:color w:val="auto"/>
                <w:sz w:val="18"/>
                <w:szCs w:val="18"/>
                <w:highlight w:val="none"/>
                <w:bdr w:val="single" w:sz="0" w:space="0"/>
              </w:rPr>
              <w:t>；当孔的长度与宽度比小于</w:t>
            </w:r>
            <w:r>
              <w:rPr>
                <w:rFonts w:hint="eastAsia" w:ascii="宋体" w:hAnsi="宋体" w:eastAsia="宋体" w:cs="宋体"/>
                <w:b/>
                <w:color w:val="auto"/>
                <w:sz w:val="18"/>
                <w:szCs w:val="18"/>
                <w:highlight w:val="none"/>
                <w:bdr w:val="single" w:sz="0" w:space="0"/>
              </w:rPr>
              <w:t>2</w:t>
            </w:r>
            <w:r>
              <w:rPr>
                <w:rFonts w:hint="eastAsia" w:ascii="黑体" w:hAnsi="黑体" w:eastAsia="黑体" w:cs="黑体"/>
                <w:b/>
                <w:color w:val="auto"/>
                <w:sz w:val="18"/>
                <w:szCs w:val="18"/>
                <w:highlight w:val="none"/>
                <w:bdr w:val="single" w:sz="0" w:space="0"/>
              </w:rPr>
              <w:t>时，壁的厚度不应小于</w:t>
            </w:r>
            <w:r>
              <w:rPr>
                <w:rFonts w:hint="eastAsia" w:ascii="宋体" w:hAnsi="宋体" w:eastAsia="宋体" w:cs="宋体"/>
                <w:b/>
                <w:color w:val="auto"/>
                <w:sz w:val="18"/>
                <w:szCs w:val="18"/>
                <w:highlight w:val="none"/>
                <w:bdr w:val="single" w:sz="0" w:space="0"/>
              </w:rPr>
              <w:t>15mm</w:t>
            </w:r>
            <w:r>
              <w:rPr>
                <w:rFonts w:hint="eastAsia" w:ascii="黑体" w:hAnsi="黑体" w:eastAsia="黑体" w:cs="黑体"/>
                <w:b/>
                <w:color w:val="auto"/>
                <w:sz w:val="18"/>
                <w:szCs w:val="18"/>
                <w:highlight w:val="none"/>
                <w:bdr w:val="single" w:sz="0" w:space="0"/>
                <w:lang w:eastAsia="zh-CN"/>
              </w:rPr>
              <w:t>。</w:t>
            </w:r>
          </w:p>
          <w:p w14:paraId="5C8AE7A2">
            <w:pPr>
              <w:ind w:left="895" w:leftChars="425" w:hanging="2" w:hangingChars="1"/>
              <w:rPr>
                <w:rFonts w:ascii="Times New Roman" w:hAnsi="Times New Roman"/>
                <w:b/>
                <w:bCs/>
                <w:szCs w:val="21"/>
              </w:rPr>
            </w:pPr>
            <w:r>
              <w:rPr>
                <w:rFonts w:hint="eastAsia" w:ascii="黑体" w:hAnsi="黑体" w:eastAsia="黑体" w:cs="黑体"/>
                <w:b/>
                <w:color w:val="auto"/>
                <w:sz w:val="18"/>
                <w:szCs w:val="18"/>
                <w:highlight w:val="none"/>
                <w:bdr w:val="single" w:sz="0" w:space="0"/>
              </w:rPr>
              <w:t>2   承重含孔块材，</w:t>
            </w:r>
            <w:r>
              <w:rPr>
                <w:rFonts w:hint="eastAsia" w:ascii="黑体" w:hAnsi="黑体" w:eastAsia="黑体" w:cs="黑体"/>
                <w:b/>
                <w:color w:val="auto"/>
                <w:sz w:val="18"/>
                <w:szCs w:val="18"/>
                <w:highlight w:val="none"/>
                <w:bdr w:val="single" w:sz="0" w:space="0"/>
                <w:lang w:val="en-US" w:eastAsia="zh-CN"/>
              </w:rPr>
              <w:t>其</w:t>
            </w:r>
            <w:r>
              <w:rPr>
                <w:rFonts w:hint="eastAsia" w:ascii="黑体" w:hAnsi="黑体" w:eastAsia="黑体" w:cs="黑体"/>
                <w:b/>
                <w:color w:val="auto"/>
                <w:sz w:val="18"/>
                <w:szCs w:val="18"/>
                <w:highlight w:val="none"/>
                <w:bdr w:val="single" w:sz="0" w:space="0"/>
              </w:rPr>
              <w:t>长度方向</w:t>
            </w:r>
            <w:r>
              <w:rPr>
                <w:rFonts w:hint="eastAsia" w:ascii="黑体" w:hAnsi="黑体" w:eastAsia="黑体" w:cs="黑体"/>
                <w:b/>
                <w:color w:val="auto"/>
                <w:sz w:val="18"/>
                <w:szCs w:val="18"/>
                <w:highlight w:val="none"/>
                <w:bdr w:val="single" w:sz="0" w:space="0"/>
                <w:lang w:val="en-US" w:eastAsia="zh-CN"/>
              </w:rPr>
              <w:t>的</w:t>
            </w:r>
            <w:r>
              <w:rPr>
                <w:rFonts w:hint="eastAsia" w:ascii="黑体" w:hAnsi="黑体" w:eastAsia="黑体" w:cs="黑体"/>
                <w:b/>
                <w:color w:val="auto"/>
                <w:sz w:val="18"/>
                <w:szCs w:val="18"/>
                <w:highlight w:val="none"/>
                <w:bdr w:val="single" w:sz="0" w:space="0"/>
              </w:rPr>
              <w:t>中部不得设孔，中肋厚度不应小于</w:t>
            </w:r>
            <w:r>
              <w:rPr>
                <w:rFonts w:hint="eastAsia" w:ascii="宋体" w:hAnsi="宋体" w:eastAsia="宋体" w:cs="宋体"/>
                <w:b/>
                <w:color w:val="auto"/>
                <w:sz w:val="18"/>
                <w:szCs w:val="18"/>
                <w:highlight w:val="none"/>
                <w:bdr w:val="single" w:sz="0" w:space="0"/>
              </w:rPr>
              <w:t>20mm</w:t>
            </w:r>
            <w:r>
              <w:rPr>
                <w:rFonts w:hint="eastAsia" w:ascii="黑体" w:hAnsi="黑体" w:eastAsia="黑体" w:cs="黑体"/>
                <w:b/>
                <w:color w:val="auto"/>
                <w:sz w:val="18"/>
                <w:szCs w:val="18"/>
                <w:highlight w:val="none"/>
                <w:bdr w:val="single" w:sz="0" w:space="0"/>
              </w:rPr>
              <w:t>。</w:t>
            </w:r>
          </w:p>
        </w:tc>
        <w:tc>
          <w:tcPr>
            <w:tcW w:w="4716" w:type="dxa"/>
            <w:vAlign w:val="center"/>
          </w:tcPr>
          <w:p w14:paraId="1D1B250D">
            <w:pPr>
              <w:ind w:firstLine="361" w:firstLineChars="200"/>
              <w:rPr>
                <w:b/>
                <w:bCs w:val="0"/>
                <w:color w:val="auto"/>
                <w:sz w:val="18"/>
                <w:szCs w:val="18"/>
                <w:highlight w:val="none"/>
                <w:bdr w:val="single" w:sz="4" w:space="0"/>
              </w:rPr>
            </w:pPr>
            <w:r>
              <w:rPr>
                <w:rFonts w:hint="eastAsia" w:ascii="黑体" w:hAnsi="黑体" w:eastAsia="黑体" w:cs="黑体"/>
                <w:b/>
                <w:bCs w:val="0"/>
                <w:color w:val="auto"/>
                <w:sz w:val="18"/>
                <w:szCs w:val="18"/>
                <w:highlight w:val="none"/>
                <w:bdr w:val="single" w:sz="4" w:space="0"/>
              </w:rPr>
              <w:t>表</w:t>
            </w:r>
            <w:r>
              <w:rPr>
                <w:b/>
                <w:bCs w:val="0"/>
                <w:color w:val="auto"/>
                <w:sz w:val="18"/>
                <w:szCs w:val="18"/>
                <w:highlight w:val="none"/>
                <w:bdr w:val="single" w:sz="4" w:space="0"/>
              </w:rPr>
              <w:t xml:space="preserve">3.2.1 </w:t>
            </w:r>
            <w:r>
              <w:rPr>
                <w:rFonts w:hint="eastAsia"/>
                <w:b/>
                <w:bCs w:val="0"/>
                <w:color w:val="auto"/>
                <w:sz w:val="18"/>
                <w:szCs w:val="18"/>
                <w:highlight w:val="none"/>
                <w:bdr w:val="single" w:sz="4" w:space="0"/>
                <w:lang w:val="en-US" w:eastAsia="zh-CN"/>
              </w:rPr>
              <w:t xml:space="preserve"> </w:t>
            </w:r>
            <w:r>
              <w:rPr>
                <w:rFonts w:hint="eastAsia" w:ascii="黑体" w:hAnsi="黑体" w:eastAsia="黑体" w:cs="黑体"/>
                <w:b/>
                <w:bCs w:val="0"/>
                <w:color w:val="auto"/>
                <w:sz w:val="18"/>
                <w:szCs w:val="18"/>
                <w:highlight w:val="none"/>
                <w:bdr w:val="single" w:sz="4" w:space="0"/>
                <w:lang w:val="en-US" w:eastAsia="zh-CN"/>
              </w:rPr>
              <w:t>非烧结</w:t>
            </w:r>
            <w:r>
              <w:rPr>
                <w:rFonts w:hint="eastAsia" w:ascii="黑体" w:hAnsi="黑体" w:eastAsia="黑体" w:cs="黑体"/>
                <w:b/>
                <w:bCs w:val="0"/>
                <w:color w:val="auto"/>
                <w:sz w:val="18"/>
                <w:szCs w:val="18"/>
                <w:highlight w:val="none"/>
                <w:bdr w:val="single" w:sz="4" w:space="0"/>
              </w:rPr>
              <w:t>含孔块材的孔洞率、壁及肋厚度要求</w:t>
            </w:r>
          </w:p>
          <w:tbl>
            <w:tblPr>
              <w:tblStyle w:val="7"/>
              <w:tblW w:w="4453" w:type="dxa"/>
              <w:tblInd w:w="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0"/>
              <w:gridCol w:w="1173"/>
              <w:gridCol w:w="572"/>
              <w:gridCol w:w="478"/>
              <w:gridCol w:w="613"/>
              <w:gridCol w:w="1167"/>
            </w:tblGrid>
            <w:tr w14:paraId="76660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3" w:type="dxa"/>
                  <w:gridSpan w:val="2"/>
                  <w:noWrap w:val="0"/>
                  <w:vAlign w:val="center"/>
                </w:tcPr>
                <w:p w14:paraId="3EFDE863">
                  <w:pPr>
                    <w:jc w:val="center"/>
                    <w:rPr>
                      <w:rFonts w:hint="eastAsia" w:ascii="黑体" w:hAnsi="黑体" w:eastAsia="黑体" w:cs="黑体"/>
                      <w:b/>
                      <w:bCs w:val="0"/>
                      <w:color w:val="auto"/>
                      <w:sz w:val="18"/>
                      <w:szCs w:val="18"/>
                      <w:highlight w:val="none"/>
                      <w:bdr w:val="single" w:sz="4" w:space="0"/>
                    </w:rPr>
                  </w:pPr>
                  <w:r>
                    <w:rPr>
                      <w:rFonts w:hint="eastAsia" w:ascii="黑体" w:hAnsi="黑体" w:eastAsia="黑体" w:cs="黑体"/>
                      <w:b/>
                      <w:bCs w:val="0"/>
                      <w:color w:val="auto"/>
                      <w:sz w:val="18"/>
                      <w:szCs w:val="18"/>
                      <w:highlight w:val="none"/>
                      <w:bdr w:val="single" w:sz="4" w:space="0"/>
                    </w:rPr>
                    <w:t>块体材料类型及用途</w:t>
                  </w:r>
                </w:p>
              </w:tc>
              <w:tc>
                <w:tcPr>
                  <w:tcW w:w="572" w:type="dxa"/>
                  <w:noWrap w:val="0"/>
                  <w:vAlign w:val="center"/>
                </w:tcPr>
                <w:p w14:paraId="2467D98A">
                  <w:pPr>
                    <w:jc w:val="center"/>
                    <w:rPr>
                      <w:rFonts w:hint="eastAsia" w:ascii="黑体" w:hAnsi="黑体" w:eastAsia="黑体" w:cs="黑体"/>
                      <w:b/>
                      <w:bCs w:val="0"/>
                      <w:color w:val="auto"/>
                      <w:sz w:val="18"/>
                      <w:szCs w:val="18"/>
                      <w:highlight w:val="none"/>
                      <w:bdr w:val="single" w:sz="4" w:space="0"/>
                    </w:rPr>
                  </w:pPr>
                  <w:r>
                    <w:rPr>
                      <w:rFonts w:hint="eastAsia" w:ascii="黑体" w:hAnsi="黑体" w:eastAsia="黑体" w:cs="黑体"/>
                      <w:b/>
                      <w:bCs w:val="0"/>
                      <w:color w:val="auto"/>
                      <w:sz w:val="18"/>
                      <w:szCs w:val="18"/>
                      <w:highlight w:val="none"/>
                      <w:bdr w:val="single" w:sz="4" w:space="0"/>
                    </w:rPr>
                    <w:t>孔洞率（％）</w:t>
                  </w:r>
                </w:p>
              </w:tc>
              <w:tc>
                <w:tcPr>
                  <w:tcW w:w="478" w:type="dxa"/>
                  <w:noWrap w:val="0"/>
                  <w:vAlign w:val="center"/>
                </w:tcPr>
                <w:p w14:paraId="59A71A52">
                  <w:pPr>
                    <w:jc w:val="center"/>
                    <w:rPr>
                      <w:rFonts w:hint="eastAsia" w:ascii="黑体" w:hAnsi="黑体" w:eastAsia="黑体" w:cs="黑体"/>
                      <w:b/>
                      <w:bCs w:val="0"/>
                      <w:color w:val="auto"/>
                      <w:sz w:val="18"/>
                      <w:szCs w:val="18"/>
                      <w:highlight w:val="none"/>
                      <w:bdr w:val="single" w:sz="4" w:space="0"/>
                    </w:rPr>
                  </w:pPr>
                  <w:r>
                    <w:rPr>
                      <w:rFonts w:hint="eastAsia" w:ascii="黑体" w:hAnsi="黑体" w:eastAsia="黑体" w:cs="黑体"/>
                      <w:b/>
                      <w:bCs w:val="0"/>
                      <w:color w:val="auto"/>
                      <w:sz w:val="18"/>
                      <w:szCs w:val="18"/>
                      <w:highlight w:val="none"/>
                      <w:bdr w:val="single" w:sz="4" w:space="0"/>
                    </w:rPr>
                    <w:t>最小外壁（mm）</w:t>
                  </w:r>
                </w:p>
              </w:tc>
              <w:tc>
                <w:tcPr>
                  <w:tcW w:w="613" w:type="dxa"/>
                  <w:noWrap w:val="0"/>
                  <w:vAlign w:val="center"/>
                </w:tcPr>
                <w:p w14:paraId="39A324B7">
                  <w:pPr>
                    <w:jc w:val="center"/>
                    <w:rPr>
                      <w:rFonts w:hint="eastAsia" w:ascii="黑体" w:hAnsi="黑体" w:eastAsia="黑体" w:cs="黑体"/>
                      <w:b/>
                      <w:bCs w:val="0"/>
                      <w:color w:val="auto"/>
                      <w:sz w:val="18"/>
                      <w:szCs w:val="18"/>
                      <w:highlight w:val="none"/>
                      <w:bdr w:val="single" w:sz="4" w:space="0"/>
                    </w:rPr>
                  </w:pPr>
                  <w:r>
                    <w:rPr>
                      <w:rFonts w:hint="eastAsia" w:ascii="黑体" w:hAnsi="黑体" w:eastAsia="黑体" w:cs="黑体"/>
                      <w:b/>
                      <w:bCs w:val="0"/>
                      <w:color w:val="auto"/>
                      <w:sz w:val="18"/>
                      <w:szCs w:val="18"/>
                      <w:highlight w:val="none"/>
                      <w:bdr w:val="single" w:sz="4" w:space="0"/>
                    </w:rPr>
                    <w:t>最小肋厚（mm）</w:t>
                  </w:r>
                </w:p>
              </w:tc>
              <w:tc>
                <w:tcPr>
                  <w:tcW w:w="1167" w:type="dxa"/>
                  <w:noWrap w:val="0"/>
                  <w:vAlign w:val="center"/>
                </w:tcPr>
                <w:p w14:paraId="6755645F">
                  <w:pPr>
                    <w:jc w:val="center"/>
                    <w:rPr>
                      <w:rFonts w:hint="eastAsia" w:ascii="黑体" w:hAnsi="黑体" w:eastAsia="黑体" w:cs="黑体"/>
                      <w:b/>
                      <w:bCs w:val="0"/>
                      <w:color w:val="auto"/>
                      <w:sz w:val="18"/>
                      <w:szCs w:val="18"/>
                      <w:highlight w:val="none"/>
                      <w:bdr w:val="single" w:sz="4" w:space="0"/>
                    </w:rPr>
                  </w:pPr>
                  <w:r>
                    <w:rPr>
                      <w:rFonts w:hint="eastAsia" w:ascii="黑体" w:hAnsi="黑体" w:eastAsia="黑体" w:cs="黑体"/>
                      <w:b/>
                      <w:bCs w:val="0"/>
                      <w:color w:val="auto"/>
                      <w:sz w:val="18"/>
                      <w:szCs w:val="18"/>
                      <w:highlight w:val="none"/>
                      <w:bdr w:val="single" w:sz="4" w:space="0"/>
                    </w:rPr>
                    <w:t>其它要求</w:t>
                  </w:r>
                </w:p>
              </w:tc>
            </w:tr>
            <w:tr w14:paraId="1AE5A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 w:type="dxa"/>
                  <w:vMerge w:val="restart"/>
                  <w:noWrap w:val="0"/>
                  <w:vAlign w:val="center"/>
                </w:tcPr>
                <w:p w14:paraId="0EDA3E6B">
                  <w:pPr>
                    <w:jc w:val="center"/>
                    <w:rPr>
                      <w:rFonts w:hint="eastAsia" w:ascii="黑体" w:hAnsi="黑体" w:eastAsia="黑体" w:cs="黑体"/>
                      <w:b/>
                      <w:bCs w:val="0"/>
                      <w:color w:val="auto"/>
                      <w:sz w:val="18"/>
                      <w:szCs w:val="18"/>
                      <w:highlight w:val="none"/>
                      <w:bdr w:val="single" w:sz="4" w:space="0"/>
                    </w:rPr>
                  </w:pPr>
                  <w:r>
                    <w:rPr>
                      <w:rFonts w:hint="eastAsia" w:ascii="黑体" w:hAnsi="黑体" w:eastAsia="黑体" w:cs="黑体"/>
                      <w:b/>
                      <w:bCs w:val="0"/>
                      <w:color w:val="auto"/>
                      <w:sz w:val="18"/>
                      <w:szCs w:val="18"/>
                      <w:highlight w:val="none"/>
                      <w:bdr w:val="single" w:sz="4" w:space="0"/>
                    </w:rPr>
                    <w:t>含孔砖</w:t>
                  </w:r>
                </w:p>
              </w:tc>
              <w:tc>
                <w:tcPr>
                  <w:tcW w:w="1173" w:type="dxa"/>
                  <w:noWrap w:val="0"/>
                  <w:vAlign w:val="center"/>
                </w:tcPr>
                <w:p w14:paraId="7503D20D">
                  <w:pPr>
                    <w:jc w:val="both"/>
                    <w:rPr>
                      <w:rFonts w:hint="eastAsia" w:ascii="黑体" w:hAnsi="黑体" w:eastAsia="黑体" w:cs="黑体"/>
                      <w:b/>
                      <w:bCs w:val="0"/>
                      <w:color w:val="auto"/>
                      <w:sz w:val="18"/>
                      <w:szCs w:val="18"/>
                      <w:highlight w:val="none"/>
                      <w:bdr w:val="single" w:sz="4" w:space="0"/>
                      <w:lang w:val="en-US" w:eastAsia="zh-CN"/>
                    </w:rPr>
                  </w:pPr>
                  <w:r>
                    <w:rPr>
                      <w:rFonts w:hint="eastAsia" w:ascii="黑体" w:hAnsi="黑体" w:eastAsia="黑体" w:cs="黑体"/>
                      <w:b/>
                      <w:bCs w:val="0"/>
                      <w:color w:val="auto"/>
                      <w:sz w:val="18"/>
                      <w:szCs w:val="18"/>
                      <w:highlight w:val="none"/>
                      <w:bdr w:val="single" w:sz="4" w:space="0"/>
                    </w:rPr>
                    <w:t>用于承重墙</w:t>
                  </w:r>
                </w:p>
              </w:tc>
              <w:tc>
                <w:tcPr>
                  <w:tcW w:w="572" w:type="dxa"/>
                  <w:noWrap w:val="0"/>
                  <w:vAlign w:val="center"/>
                </w:tcPr>
                <w:p w14:paraId="2DA4F8F6">
                  <w:pPr>
                    <w:jc w:val="center"/>
                    <w:rPr>
                      <w:b/>
                      <w:bCs w:val="0"/>
                      <w:color w:val="auto"/>
                      <w:sz w:val="18"/>
                      <w:szCs w:val="18"/>
                      <w:highlight w:val="none"/>
                      <w:bdr w:val="single" w:sz="4" w:space="0"/>
                    </w:rPr>
                  </w:pPr>
                  <w:r>
                    <w:rPr>
                      <w:b/>
                      <w:bCs w:val="0"/>
                      <w:color w:val="auto"/>
                      <w:sz w:val="18"/>
                      <w:szCs w:val="18"/>
                      <w:highlight w:val="none"/>
                      <w:bdr w:val="single" w:sz="4" w:space="0"/>
                    </w:rPr>
                    <w:t>≤ 35</w:t>
                  </w:r>
                </w:p>
              </w:tc>
              <w:tc>
                <w:tcPr>
                  <w:tcW w:w="478" w:type="dxa"/>
                  <w:noWrap w:val="0"/>
                  <w:vAlign w:val="center"/>
                </w:tcPr>
                <w:p w14:paraId="712F4A37">
                  <w:pPr>
                    <w:jc w:val="center"/>
                    <w:rPr>
                      <w:b/>
                      <w:bCs w:val="0"/>
                      <w:color w:val="auto"/>
                      <w:sz w:val="18"/>
                      <w:szCs w:val="18"/>
                      <w:highlight w:val="none"/>
                      <w:bdr w:val="single" w:sz="4" w:space="0"/>
                    </w:rPr>
                  </w:pPr>
                  <w:r>
                    <w:rPr>
                      <w:b/>
                      <w:bCs w:val="0"/>
                      <w:color w:val="auto"/>
                      <w:sz w:val="18"/>
                      <w:szCs w:val="18"/>
                      <w:highlight w:val="none"/>
                      <w:bdr w:val="single" w:sz="4" w:space="0"/>
                    </w:rPr>
                    <w:t>15</w:t>
                  </w:r>
                </w:p>
              </w:tc>
              <w:tc>
                <w:tcPr>
                  <w:tcW w:w="613" w:type="dxa"/>
                  <w:noWrap w:val="0"/>
                  <w:vAlign w:val="center"/>
                </w:tcPr>
                <w:p w14:paraId="2152FC6A">
                  <w:pPr>
                    <w:jc w:val="center"/>
                    <w:rPr>
                      <w:b/>
                      <w:bCs w:val="0"/>
                      <w:color w:val="auto"/>
                      <w:sz w:val="18"/>
                      <w:szCs w:val="18"/>
                      <w:highlight w:val="none"/>
                      <w:bdr w:val="single" w:sz="4" w:space="0"/>
                    </w:rPr>
                  </w:pPr>
                  <w:r>
                    <w:rPr>
                      <w:b/>
                      <w:bCs w:val="0"/>
                      <w:color w:val="auto"/>
                      <w:sz w:val="18"/>
                      <w:szCs w:val="18"/>
                      <w:highlight w:val="none"/>
                      <w:bdr w:val="single" w:sz="4" w:space="0"/>
                    </w:rPr>
                    <w:t>15</w:t>
                  </w:r>
                </w:p>
              </w:tc>
              <w:tc>
                <w:tcPr>
                  <w:tcW w:w="1167" w:type="dxa"/>
                  <w:noWrap w:val="0"/>
                  <w:vAlign w:val="center"/>
                </w:tcPr>
                <w:p w14:paraId="109897EC">
                  <w:pPr>
                    <w:jc w:val="center"/>
                    <w:rPr>
                      <w:rFonts w:hint="eastAsia" w:ascii="黑体" w:hAnsi="黑体" w:eastAsia="黑体" w:cs="黑体"/>
                      <w:b/>
                      <w:bCs w:val="0"/>
                      <w:color w:val="auto"/>
                      <w:sz w:val="18"/>
                      <w:szCs w:val="18"/>
                      <w:highlight w:val="none"/>
                      <w:bdr w:val="single" w:sz="4" w:space="0"/>
                    </w:rPr>
                  </w:pPr>
                  <w:r>
                    <w:rPr>
                      <w:rFonts w:hint="eastAsia" w:ascii="黑体" w:hAnsi="黑体" w:eastAsia="黑体" w:cs="黑体"/>
                      <w:b/>
                      <w:bCs w:val="0"/>
                      <w:color w:val="auto"/>
                      <w:sz w:val="18"/>
                      <w:szCs w:val="18"/>
                      <w:highlight w:val="none"/>
                      <w:bdr w:val="single" w:sz="4" w:space="0"/>
                    </w:rPr>
                    <w:t>孔的长度和宽度比应小于</w:t>
                  </w:r>
                  <w:r>
                    <w:rPr>
                      <w:rFonts w:hint="eastAsia"/>
                      <w:b/>
                      <w:bCs w:val="0"/>
                      <w:color w:val="auto"/>
                      <w:sz w:val="18"/>
                      <w:szCs w:val="18"/>
                      <w:highlight w:val="none"/>
                      <w:bdr w:val="single" w:sz="4" w:space="0"/>
                    </w:rPr>
                    <w:t>2</w:t>
                  </w:r>
                </w:p>
              </w:tc>
            </w:tr>
            <w:tr w14:paraId="14754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 w:type="dxa"/>
                  <w:vMerge w:val="continue"/>
                  <w:noWrap w:val="0"/>
                  <w:vAlign w:val="center"/>
                </w:tcPr>
                <w:p w14:paraId="0836C9C7">
                  <w:pPr>
                    <w:jc w:val="center"/>
                    <w:rPr>
                      <w:rFonts w:hint="eastAsia" w:ascii="黑体" w:hAnsi="黑体" w:eastAsia="黑体" w:cs="黑体"/>
                      <w:b/>
                      <w:bCs w:val="0"/>
                      <w:color w:val="auto"/>
                      <w:sz w:val="18"/>
                      <w:szCs w:val="18"/>
                      <w:highlight w:val="none"/>
                      <w:bdr w:val="single" w:sz="4" w:space="0"/>
                    </w:rPr>
                  </w:pPr>
                </w:p>
              </w:tc>
              <w:tc>
                <w:tcPr>
                  <w:tcW w:w="1173" w:type="dxa"/>
                  <w:noWrap w:val="0"/>
                  <w:vAlign w:val="center"/>
                </w:tcPr>
                <w:p w14:paraId="5E2E70DF">
                  <w:pPr>
                    <w:jc w:val="both"/>
                    <w:rPr>
                      <w:rFonts w:hint="eastAsia" w:ascii="黑体" w:hAnsi="黑体" w:eastAsia="黑体" w:cs="黑体"/>
                      <w:b/>
                      <w:bCs w:val="0"/>
                      <w:color w:val="auto"/>
                      <w:sz w:val="18"/>
                      <w:szCs w:val="18"/>
                      <w:highlight w:val="none"/>
                      <w:bdr w:val="single" w:sz="4" w:space="0"/>
                    </w:rPr>
                  </w:pPr>
                  <w:r>
                    <w:rPr>
                      <w:rFonts w:hint="eastAsia" w:ascii="黑体" w:hAnsi="黑体" w:eastAsia="黑体" w:cs="黑体"/>
                      <w:b/>
                      <w:bCs w:val="0"/>
                      <w:color w:val="auto"/>
                      <w:sz w:val="18"/>
                      <w:szCs w:val="18"/>
                      <w:highlight w:val="none"/>
                      <w:bdr w:val="single" w:sz="4" w:space="0"/>
                    </w:rPr>
                    <w:t>用于自承重墙</w:t>
                  </w:r>
                </w:p>
              </w:tc>
              <w:tc>
                <w:tcPr>
                  <w:tcW w:w="572" w:type="dxa"/>
                  <w:noWrap w:val="0"/>
                  <w:vAlign w:val="center"/>
                </w:tcPr>
                <w:p w14:paraId="24DC2B3D">
                  <w:pPr>
                    <w:jc w:val="center"/>
                    <w:rPr>
                      <w:b/>
                      <w:bCs w:val="0"/>
                      <w:color w:val="auto"/>
                      <w:sz w:val="18"/>
                      <w:szCs w:val="18"/>
                      <w:highlight w:val="none"/>
                      <w:bdr w:val="single" w:sz="4" w:space="0"/>
                    </w:rPr>
                  </w:pPr>
                  <w:r>
                    <w:rPr>
                      <w:b/>
                      <w:bCs w:val="0"/>
                      <w:color w:val="auto"/>
                      <w:sz w:val="18"/>
                      <w:szCs w:val="18"/>
                      <w:highlight w:val="none"/>
                      <w:bdr w:val="single" w:sz="4" w:space="0"/>
                    </w:rPr>
                    <w:t>—</w:t>
                  </w:r>
                </w:p>
              </w:tc>
              <w:tc>
                <w:tcPr>
                  <w:tcW w:w="478" w:type="dxa"/>
                  <w:noWrap w:val="0"/>
                  <w:vAlign w:val="center"/>
                </w:tcPr>
                <w:p w14:paraId="333AF47F">
                  <w:pPr>
                    <w:jc w:val="center"/>
                    <w:rPr>
                      <w:b/>
                      <w:bCs w:val="0"/>
                      <w:color w:val="auto"/>
                      <w:sz w:val="18"/>
                      <w:szCs w:val="18"/>
                      <w:highlight w:val="none"/>
                      <w:bdr w:val="single" w:sz="4" w:space="0"/>
                    </w:rPr>
                  </w:pPr>
                  <w:r>
                    <w:rPr>
                      <w:b/>
                      <w:bCs w:val="0"/>
                      <w:color w:val="auto"/>
                      <w:sz w:val="18"/>
                      <w:szCs w:val="18"/>
                      <w:highlight w:val="none"/>
                      <w:bdr w:val="single" w:sz="4" w:space="0"/>
                    </w:rPr>
                    <w:t>10</w:t>
                  </w:r>
                </w:p>
              </w:tc>
              <w:tc>
                <w:tcPr>
                  <w:tcW w:w="613" w:type="dxa"/>
                  <w:noWrap w:val="0"/>
                  <w:vAlign w:val="center"/>
                </w:tcPr>
                <w:p w14:paraId="2BE802E6">
                  <w:pPr>
                    <w:jc w:val="center"/>
                    <w:rPr>
                      <w:b/>
                      <w:bCs w:val="0"/>
                      <w:color w:val="auto"/>
                      <w:sz w:val="18"/>
                      <w:szCs w:val="18"/>
                      <w:highlight w:val="none"/>
                      <w:bdr w:val="single" w:sz="4" w:space="0"/>
                    </w:rPr>
                  </w:pPr>
                  <w:r>
                    <w:rPr>
                      <w:b/>
                      <w:bCs w:val="0"/>
                      <w:color w:val="auto"/>
                      <w:sz w:val="18"/>
                      <w:szCs w:val="18"/>
                      <w:highlight w:val="none"/>
                      <w:bdr w:val="single" w:sz="4" w:space="0"/>
                    </w:rPr>
                    <w:t>10</w:t>
                  </w:r>
                </w:p>
              </w:tc>
              <w:tc>
                <w:tcPr>
                  <w:tcW w:w="1167" w:type="dxa"/>
                  <w:noWrap w:val="0"/>
                  <w:vAlign w:val="center"/>
                </w:tcPr>
                <w:p w14:paraId="2562CDEA">
                  <w:pPr>
                    <w:jc w:val="center"/>
                    <w:rPr>
                      <w:rFonts w:hint="eastAsia" w:ascii="黑体" w:hAnsi="黑体" w:eastAsia="黑体" w:cs="黑体"/>
                      <w:b/>
                      <w:bCs w:val="0"/>
                      <w:color w:val="auto"/>
                      <w:sz w:val="18"/>
                      <w:szCs w:val="18"/>
                      <w:highlight w:val="none"/>
                      <w:bdr w:val="single" w:sz="4" w:space="0"/>
                    </w:rPr>
                  </w:pPr>
                  <w:r>
                    <w:rPr>
                      <w:rFonts w:hint="eastAsia" w:ascii="黑体" w:hAnsi="黑体" w:eastAsia="黑体" w:cs="黑体"/>
                      <w:b/>
                      <w:bCs w:val="0"/>
                      <w:color w:val="auto"/>
                      <w:sz w:val="18"/>
                      <w:szCs w:val="18"/>
                      <w:highlight w:val="none"/>
                      <w:bdr w:val="single" w:sz="4" w:space="0"/>
                    </w:rPr>
                    <w:t>—</w:t>
                  </w:r>
                </w:p>
              </w:tc>
            </w:tr>
            <w:tr w14:paraId="53148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 w:type="dxa"/>
                  <w:vMerge w:val="restart"/>
                  <w:noWrap w:val="0"/>
                  <w:vAlign w:val="center"/>
                </w:tcPr>
                <w:p w14:paraId="5E35A3B7">
                  <w:pPr>
                    <w:jc w:val="center"/>
                    <w:rPr>
                      <w:rFonts w:hint="eastAsia" w:ascii="黑体" w:hAnsi="黑体" w:eastAsia="黑体" w:cs="黑体"/>
                      <w:b/>
                      <w:bCs w:val="0"/>
                      <w:color w:val="auto"/>
                      <w:sz w:val="18"/>
                      <w:szCs w:val="18"/>
                      <w:highlight w:val="none"/>
                      <w:u w:val="single"/>
                      <w:bdr w:val="single" w:sz="4" w:space="0"/>
                      <w:lang w:val="en-US" w:eastAsia="zh-CN"/>
                    </w:rPr>
                  </w:pPr>
                </w:p>
                <w:p w14:paraId="407C97F1">
                  <w:pPr>
                    <w:jc w:val="center"/>
                    <w:rPr>
                      <w:rFonts w:hint="eastAsia" w:ascii="黑体" w:hAnsi="黑体" w:eastAsia="黑体" w:cs="黑体"/>
                      <w:b/>
                      <w:bCs w:val="0"/>
                      <w:color w:val="auto"/>
                      <w:sz w:val="18"/>
                      <w:szCs w:val="18"/>
                      <w:highlight w:val="none"/>
                      <w:bdr w:val="single" w:sz="4" w:space="0"/>
                    </w:rPr>
                  </w:pPr>
                  <w:r>
                    <w:rPr>
                      <w:rFonts w:hint="eastAsia" w:ascii="黑体" w:hAnsi="黑体" w:eastAsia="黑体" w:cs="黑体"/>
                      <w:b/>
                      <w:bCs w:val="0"/>
                      <w:color w:val="auto"/>
                      <w:sz w:val="18"/>
                      <w:szCs w:val="18"/>
                      <w:highlight w:val="none"/>
                      <w:bdr w:val="single" w:sz="4" w:space="0"/>
                    </w:rPr>
                    <w:t>砌 块</w:t>
                  </w:r>
                </w:p>
              </w:tc>
              <w:tc>
                <w:tcPr>
                  <w:tcW w:w="1173" w:type="dxa"/>
                  <w:noWrap w:val="0"/>
                  <w:vAlign w:val="center"/>
                </w:tcPr>
                <w:p w14:paraId="0860DEAA">
                  <w:pPr>
                    <w:jc w:val="both"/>
                    <w:rPr>
                      <w:rFonts w:hint="eastAsia" w:ascii="黑体" w:hAnsi="黑体" w:eastAsia="黑体" w:cs="黑体"/>
                      <w:b/>
                      <w:bCs w:val="0"/>
                      <w:color w:val="auto"/>
                      <w:sz w:val="18"/>
                      <w:szCs w:val="18"/>
                      <w:highlight w:val="none"/>
                      <w:bdr w:val="single" w:sz="4" w:space="0"/>
                    </w:rPr>
                  </w:pPr>
                  <w:r>
                    <w:rPr>
                      <w:rFonts w:hint="eastAsia" w:ascii="黑体" w:hAnsi="黑体" w:eastAsia="黑体" w:cs="黑体"/>
                      <w:b/>
                      <w:bCs w:val="0"/>
                      <w:color w:val="auto"/>
                      <w:sz w:val="18"/>
                      <w:szCs w:val="18"/>
                      <w:highlight w:val="none"/>
                      <w:bdr w:val="single" w:sz="4" w:space="0"/>
                    </w:rPr>
                    <w:t>用于承重墙</w:t>
                  </w:r>
                </w:p>
              </w:tc>
              <w:tc>
                <w:tcPr>
                  <w:tcW w:w="572" w:type="dxa"/>
                  <w:noWrap w:val="0"/>
                  <w:vAlign w:val="center"/>
                </w:tcPr>
                <w:p w14:paraId="2DB1D684">
                  <w:pPr>
                    <w:jc w:val="center"/>
                    <w:rPr>
                      <w:b/>
                      <w:bCs w:val="0"/>
                      <w:color w:val="auto"/>
                      <w:sz w:val="18"/>
                      <w:szCs w:val="18"/>
                      <w:highlight w:val="none"/>
                      <w:bdr w:val="single" w:sz="4" w:space="0"/>
                    </w:rPr>
                  </w:pPr>
                  <w:r>
                    <w:rPr>
                      <w:b/>
                      <w:bCs w:val="0"/>
                      <w:color w:val="auto"/>
                      <w:sz w:val="18"/>
                      <w:szCs w:val="18"/>
                      <w:highlight w:val="none"/>
                      <w:bdr w:val="single" w:sz="4" w:space="0"/>
                    </w:rPr>
                    <w:t>≤ 47</w:t>
                  </w:r>
                </w:p>
              </w:tc>
              <w:tc>
                <w:tcPr>
                  <w:tcW w:w="478" w:type="dxa"/>
                  <w:noWrap w:val="0"/>
                  <w:vAlign w:val="center"/>
                </w:tcPr>
                <w:p w14:paraId="442248FC">
                  <w:pPr>
                    <w:jc w:val="center"/>
                    <w:rPr>
                      <w:b/>
                      <w:bCs w:val="0"/>
                      <w:color w:val="auto"/>
                      <w:sz w:val="18"/>
                      <w:szCs w:val="18"/>
                      <w:highlight w:val="none"/>
                      <w:bdr w:val="single" w:sz="4" w:space="0"/>
                    </w:rPr>
                  </w:pPr>
                  <w:r>
                    <w:rPr>
                      <w:b/>
                      <w:bCs w:val="0"/>
                      <w:color w:val="auto"/>
                      <w:sz w:val="18"/>
                      <w:szCs w:val="18"/>
                      <w:highlight w:val="none"/>
                      <w:bdr w:val="single" w:sz="4" w:space="0"/>
                    </w:rPr>
                    <w:t>30</w:t>
                  </w:r>
                </w:p>
              </w:tc>
              <w:tc>
                <w:tcPr>
                  <w:tcW w:w="613" w:type="dxa"/>
                  <w:noWrap w:val="0"/>
                  <w:vAlign w:val="center"/>
                </w:tcPr>
                <w:p w14:paraId="2A6E732C">
                  <w:pPr>
                    <w:jc w:val="center"/>
                    <w:rPr>
                      <w:b/>
                      <w:bCs w:val="0"/>
                      <w:color w:val="auto"/>
                      <w:sz w:val="18"/>
                      <w:szCs w:val="18"/>
                      <w:highlight w:val="none"/>
                      <w:bdr w:val="single" w:sz="4" w:space="0"/>
                    </w:rPr>
                  </w:pPr>
                  <w:r>
                    <w:rPr>
                      <w:b/>
                      <w:bCs w:val="0"/>
                      <w:color w:val="auto"/>
                      <w:sz w:val="18"/>
                      <w:szCs w:val="18"/>
                      <w:highlight w:val="none"/>
                      <w:bdr w:val="single" w:sz="4" w:space="0"/>
                    </w:rPr>
                    <w:t>25</w:t>
                  </w:r>
                </w:p>
              </w:tc>
              <w:tc>
                <w:tcPr>
                  <w:tcW w:w="1167" w:type="dxa"/>
                  <w:noWrap w:val="0"/>
                  <w:vAlign w:val="center"/>
                </w:tcPr>
                <w:p w14:paraId="546BB8B7">
                  <w:pPr>
                    <w:jc w:val="center"/>
                    <w:rPr>
                      <w:rFonts w:hint="eastAsia" w:ascii="黑体" w:hAnsi="黑体" w:eastAsia="黑体" w:cs="黑体"/>
                      <w:b/>
                      <w:bCs w:val="0"/>
                      <w:color w:val="auto"/>
                      <w:sz w:val="18"/>
                      <w:szCs w:val="18"/>
                      <w:highlight w:val="none"/>
                      <w:bdr w:val="single" w:sz="4" w:space="0"/>
                    </w:rPr>
                  </w:pPr>
                  <w:r>
                    <w:rPr>
                      <w:rFonts w:hint="eastAsia" w:ascii="黑体" w:hAnsi="黑体" w:eastAsia="黑体" w:cs="黑体"/>
                      <w:b/>
                      <w:bCs w:val="0"/>
                      <w:color w:val="auto"/>
                      <w:sz w:val="18"/>
                      <w:szCs w:val="18"/>
                      <w:highlight w:val="none"/>
                      <w:bdr w:val="single" w:sz="4" w:space="0"/>
                    </w:rPr>
                    <w:t>孔的圆角半径应不小于</w:t>
                  </w:r>
                  <w:r>
                    <w:rPr>
                      <w:rFonts w:hint="default" w:ascii="Times New Roman" w:hAnsi="Times New Roman" w:eastAsia="黑体" w:cs="Times New Roman"/>
                      <w:b/>
                      <w:bCs w:val="0"/>
                      <w:color w:val="auto"/>
                      <w:sz w:val="18"/>
                      <w:szCs w:val="18"/>
                      <w:highlight w:val="none"/>
                      <w:bdr w:val="single" w:sz="4" w:space="0"/>
                    </w:rPr>
                    <w:t>20</w:t>
                  </w:r>
                  <w:r>
                    <w:rPr>
                      <w:rFonts w:hint="eastAsia" w:ascii="黑体" w:hAnsi="黑体" w:eastAsia="黑体" w:cs="黑体"/>
                      <w:b/>
                      <w:bCs w:val="0"/>
                      <w:color w:val="auto"/>
                      <w:sz w:val="18"/>
                      <w:szCs w:val="18"/>
                      <w:highlight w:val="none"/>
                      <w:bdr w:val="single" w:sz="4" w:space="0"/>
                    </w:rPr>
                    <w:t xml:space="preserve"> mm</w:t>
                  </w:r>
                </w:p>
              </w:tc>
            </w:tr>
            <w:tr w14:paraId="6BBC0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 w:type="dxa"/>
                  <w:vMerge w:val="continue"/>
                  <w:noWrap w:val="0"/>
                  <w:vAlign w:val="center"/>
                </w:tcPr>
                <w:p w14:paraId="03213459">
                  <w:pPr>
                    <w:jc w:val="center"/>
                    <w:rPr>
                      <w:rFonts w:hint="eastAsia" w:ascii="黑体" w:hAnsi="黑体" w:eastAsia="黑体" w:cs="黑体"/>
                      <w:b/>
                      <w:bCs w:val="0"/>
                      <w:color w:val="auto"/>
                      <w:sz w:val="18"/>
                      <w:szCs w:val="18"/>
                      <w:highlight w:val="none"/>
                      <w:bdr w:val="single" w:sz="4" w:space="0"/>
                    </w:rPr>
                  </w:pPr>
                </w:p>
              </w:tc>
              <w:tc>
                <w:tcPr>
                  <w:tcW w:w="1173" w:type="dxa"/>
                  <w:noWrap w:val="0"/>
                  <w:vAlign w:val="center"/>
                </w:tcPr>
                <w:p w14:paraId="78B1155F">
                  <w:pPr>
                    <w:jc w:val="both"/>
                    <w:rPr>
                      <w:rFonts w:hint="eastAsia" w:ascii="黑体" w:hAnsi="黑体" w:eastAsia="黑体" w:cs="黑体"/>
                      <w:b/>
                      <w:bCs w:val="0"/>
                      <w:color w:val="auto"/>
                      <w:sz w:val="18"/>
                      <w:szCs w:val="18"/>
                      <w:highlight w:val="none"/>
                      <w:bdr w:val="single" w:sz="4" w:space="0"/>
                    </w:rPr>
                  </w:pPr>
                  <w:r>
                    <w:rPr>
                      <w:rFonts w:hint="eastAsia" w:ascii="黑体" w:hAnsi="黑体" w:eastAsia="黑体" w:cs="黑体"/>
                      <w:b/>
                      <w:bCs w:val="0"/>
                      <w:color w:val="auto"/>
                      <w:sz w:val="18"/>
                      <w:szCs w:val="18"/>
                      <w:highlight w:val="none"/>
                      <w:bdr w:val="single" w:sz="4" w:space="0"/>
                    </w:rPr>
                    <w:t>用于自承重墙</w:t>
                  </w:r>
                </w:p>
              </w:tc>
              <w:tc>
                <w:tcPr>
                  <w:tcW w:w="572" w:type="dxa"/>
                  <w:noWrap w:val="0"/>
                  <w:vAlign w:val="center"/>
                </w:tcPr>
                <w:p w14:paraId="11DB8590">
                  <w:pPr>
                    <w:jc w:val="center"/>
                    <w:rPr>
                      <w:b/>
                      <w:bCs w:val="0"/>
                      <w:color w:val="auto"/>
                      <w:sz w:val="18"/>
                      <w:szCs w:val="18"/>
                      <w:highlight w:val="none"/>
                      <w:bdr w:val="single" w:sz="4" w:space="0"/>
                    </w:rPr>
                  </w:pPr>
                  <w:r>
                    <w:rPr>
                      <w:b/>
                      <w:bCs w:val="0"/>
                      <w:color w:val="auto"/>
                      <w:sz w:val="18"/>
                      <w:szCs w:val="18"/>
                      <w:highlight w:val="none"/>
                      <w:bdr w:val="single" w:sz="4" w:space="0"/>
                    </w:rPr>
                    <w:t>—</w:t>
                  </w:r>
                </w:p>
              </w:tc>
              <w:tc>
                <w:tcPr>
                  <w:tcW w:w="478" w:type="dxa"/>
                  <w:noWrap w:val="0"/>
                  <w:vAlign w:val="center"/>
                </w:tcPr>
                <w:p w14:paraId="52676160">
                  <w:pPr>
                    <w:jc w:val="center"/>
                    <w:rPr>
                      <w:b/>
                      <w:bCs w:val="0"/>
                      <w:color w:val="auto"/>
                      <w:sz w:val="18"/>
                      <w:szCs w:val="18"/>
                      <w:highlight w:val="none"/>
                      <w:bdr w:val="single" w:sz="4" w:space="0"/>
                    </w:rPr>
                  </w:pPr>
                  <w:r>
                    <w:rPr>
                      <w:b/>
                      <w:bCs w:val="0"/>
                      <w:color w:val="auto"/>
                      <w:sz w:val="18"/>
                      <w:szCs w:val="18"/>
                      <w:highlight w:val="none"/>
                      <w:bdr w:val="single" w:sz="4" w:space="0"/>
                    </w:rPr>
                    <w:t>15</w:t>
                  </w:r>
                </w:p>
              </w:tc>
              <w:tc>
                <w:tcPr>
                  <w:tcW w:w="613" w:type="dxa"/>
                  <w:noWrap w:val="0"/>
                  <w:vAlign w:val="center"/>
                </w:tcPr>
                <w:p w14:paraId="3E14D2C4">
                  <w:pPr>
                    <w:jc w:val="center"/>
                    <w:rPr>
                      <w:b/>
                      <w:bCs w:val="0"/>
                      <w:color w:val="auto"/>
                      <w:sz w:val="18"/>
                      <w:szCs w:val="18"/>
                      <w:highlight w:val="none"/>
                      <w:bdr w:val="single" w:sz="4" w:space="0"/>
                    </w:rPr>
                  </w:pPr>
                  <w:r>
                    <w:rPr>
                      <w:b/>
                      <w:bCs w:val="0"/>
                      <w:color w:val="auto"/>
                      <w:sz w:val="18"/>
                      <w:szCs w:val="18"/>
                      <w:highlight w:val="none"/>
                      <w:bdr w:val="single" w:sz="4" w:space="0"/>
                    </w:rPr>
                    <w:t>15</w:t>
                  </w:r>
                </w:p>
              </w:tc>
              <w:tc>
                <w:tcPr>
                  <w:tcW w:w="1167" w:type="dxa"/>
                  <w:noWrap w:val="0"/>
                  <w:vAlign w:val="center"/>
                </w:tcPr>
                <w:p w14:paraId="0FE1498B">
                  <w:pPr>
                    <w:jc w:val="center"/>
                    <w:rPr>
                      <w:b w:val="0"/>
                      <w:bCs/>
                      <w:color w:val="auto"/>
                      <w:sz w:val="18"/>
                      <w:szCs w:val="18"/>
                      <w:highlight w:val="none"/>
                      <w:bdr w:val="single" w:sz="4" w:space="0"/>
                    </w:rPr>
                  </w:pPr>
                  <w:r>
                    <w:rPr>
                      <w:b w:val="0"/>
                      <w:bCs/>
                      <w:color w:val="auto"/>
                      <w:sz w:val="18"/>
                      <w:szCs w:val="18"/>
                      <w:highlight w:val="none"/>
                      <w:bdr w:val="single" w:sz="4" w:space="0"/>
                    </w:rPr>
                    <w:t>—</w:t>
                  </w:r>
                </w:p>
              </w:tc>
            </w:tr>
          </w:tbl>
          <w:p w14:paraId="5FF6E078">
            <w:pPr>
              <w:ind w:left="829" w:leftChars="226" w:hanging="354" w:hangingChars="196"/>
              <w:rPr>
                <w:rFonts w:hint="eastAsia" w:ascii="黑体" w:hAnsi="黑体" w:eastAsia="黑体" w:cs="黑体"/>
                <w:b/>
                <w:color w:val="auto"/>
                <w:sz w:val="18"/>
                <w:szCs w:val="18"/>
                <w:highlight w:val="none"/>
                <w:bdr w:val="single" w:sz="0" w:space="0"/>
                <w:lang w:eastAsia="zh-CN"/>
              </w:rPr>
            </w:pPr>
            <w:r>
              <w:rPr>
                <w:rFonts w:hint="eastAsia" w:ascii="黑体" w:hAnsi="黑体" w:eastAsia="黑体" w:cs="黑体"/>
                <w:b/>
                <w:color w:val="auto"/>
                <w:sz w:val="18"/>
                <w:szCs w:val="18"/>
                <w:highlight w:val="none"/>
                <w:bdr w:val="single" w:sz="0" w:space="0"/>
              </w:rPr>
              <w:t>注： 1  承重墙体的混凝土多孔砖的孔洞应垂直于铺浆面。当孔的长度与宽度比不小于</w:t>
            </w:r>
            <w:r>
              <w:rPr>
                <w:rFonts w:hint="eastAsia" w:ascii="宋体" w:hAnsi="宋体" w:eastAsia="宋体" w:cs="宋体"/>
                <w:b/>
                <w:color w:val="auto"/>
                <w:sz w:val="18"/>
                <w:szCs w:val="18"/>
                <w:highlight w:val="none"/>
                <w:bdr w:val="single" w:sz="0" w:space="0"/>
              </w:rPr>
              <w:t>2</w:t>
            </w:r>
            <w:r>
              <w:rPr>
                <w:rFonts w:hint="eastAsia" w:ascii="黑体" w:hAnsi="黑体" w:eastAsia="黑体" w:cs="黑体"/>
                <w:b/>
                <w:color w:val="auto"/>
                <w:sz w:val="18"/>
                <w:szCs w:val="18"/>
                <w:highlight w:val="none"/>
                <w:bdr w:val="single" w:sz="0" w:space="0"/>
              </w:rPr>
              <w:t>时，外壁的厚度不应小于</w:t>
            </w:r>
            <w:r>
              <w:rPr>
                <w:rFonts w:hint="eastAsia" w:ascii="宋体" w:hAnsi="宋体" w:eastAsia="宋体" w:cs="宋体"/>
                <w:b/>
                <w:color w:val="auto"/>
                <w:sz w:val="18"/>
                <w:szCs w:val="18"/>
                <w:highlight w:val="none"/>
                <w:bdr w:val="single" w:sz="0" w:space="0"/>
              </w:rPr>
              <w:t>18mm</w:t>
            </w:r>
            <w:r>
              <w:rPr>
                <w:rFonts w:hint="eastAsia" w:ascii="黑体" w:hAnsi="黑体" w:eastAsia="黑体" w:cs="黑体"/>
                <w:b/>
                <w:color w:val="auto"/>
                <w:sz w:val="18"/>
                <w:szCs w:val="18"/>
                <w:highlight w:val="none"/>
                <w:bdr w:val="single" w:sz="0" w:space="0"/>
              </w:rPr>
              <w:t>；当孔的长度与宽度比小于</w:t>
            </w:r>
            <w:r>
              <w:rPr>
                <w:rFonts w:hint="eastAsia" w:ascii="宋体" w:hAnsi="宋体" w:eastAsia="宋体" w:cs="宋体"/>
                <w:b/>
                <w:color w:val="auto"/>
                <w:sz w:val="18"/>
                <w:szCs w:val="18"/>
                <w:highlight w:val="none"/>
                <w:bdr w:val="single" w:sz="0" w:space="0"/>
              </w:rPr>
              <w:t>2</w:t>
            </w:r>
            <w:r>
              <w:rPr>
                <w:rFonts w:hint="eastAsia" w:ascii="黑体" w:hAnsi="黑体" w:eastAsia="黑体" w:cs="黑体"/>
                <w:b/>
                <w:color w:val="auto"/>
                <w:sz w:val="18"/>
                <w:szCs w:val="18"/>
                <w:highlight w:val="none"/>
                <w:bdr w:val="single" w:sz="0" w:space="0"/>
              </w:rPr>
              <w:t>时，壁的厚度不应小于</w:t>
            </w:r>
            <w:r>
              <w:rPr>
                <w:rFonts w:hint="eastAsia" w:ascii="宋体" w:hAnsi="宋体" w:eastAsia="宋体" w:cs="宋体"/>
                <w:b/>
                <w:color w:val="auto"/>
                <w:sz w:val="18"/>
                <w:szCs w:val="18"/>
                <w:highlight w:val="none"/>
                <w:bdr w:val="single" w:sz="0" w:space="0"/>
              </w:rPr>
              <w:t>15mm</w:t>
            </w:r>
            <w:r>
              <w:rPr>
                <w:rFonts w:hint="eastAsia" w:ascii="黑体" w:hAnsi="黑体" w:eastAsia="黑体" w:cs="黑体"/>
                <w:b/>
                <w:color w:val="auto"/>
                <w:sz w:val="18"/>
                <w:szCs w:val="18"/>
                <w:highlight w:val="none"/>
                <w:bdr w:val="single" w:sz="0" w:space="0"/>
                <w:lang w:eastAsia="zh-CN"/>
              </w:rPr>
              <w:t>。</w:t>
            </w:r>
          </w:p>
          <w:p w14:paraId="725A31CE">
            <w:pPr>
              <w:ind w:left="895" w:leftChars="425" w:hanging="2" w:hangingChars="1"/>
              <w:rPr>
                <w:rFonts w:ascii="Times New Roman" w:hAnsi="Times New Roman"/>
                <w:b w:val="0"/>
                <w:bCs/>
                <w:szCs w:val="21"/>
              </w:rPr>
            </w:pPr>
            <w:r>
              <w:rPr>
                <w:rFonts w:hint="eastAsia" w:ascii="黑体" w:hAnsi="黑体" w:eastAsia="黑体" w:cs="黑体"/>
                <w:b/>
                <w:color w:val="auto"/>
                <w:sz w:val="18"/>
                <w:szCs w:val="18"/>
                <w:highlight w:val="none"/>
                <w:bdr w:val="single" w:sz="0" w:space="0"/>
              </w:rPr>
              <w:t>2   承重含孔块材，</w:t>
            </w:r>
            <w:r>
              <w:rPr>
                <w:rFonts w:hint="eastAsia" w:ascii="黑体" w:hAnsi="黑体" w:eastAsia="黑体" w:cs="黑体"/>
                <w:b/>
                <w:color w:val="auto"/>
                <w:sz w:val="18"/>
                <w:szCs w:val="18"/>
                <w:highlight w:val="none"/>
                <w:bdr w:val="single" w:sz="0" w:space="0"/>
                <w:lang w:val="en-US" w:eastAsia="zh-CN"/>
              </w:rPr>
              <w:t>其</w:t>
            </w:r>
            <w:r>
              <w:rPr>
                <w:rFonts w:hint="eastAsia" w:ascii="黑体" w:hAnsi="黑体" w:eastAsia="黑体" w:cs="黑体"/>
                <w:b/>
                <w:color w:val="auto"/>
                <w:sz w:val="18"/>
                <w:szCs w:val="18"/>
                <w:highlight w:val="none"/>
                <w:bdr w:val="single" w:sz="0" w:space="0"/>
              </w:rPr>
              <w:t>长度方向</w:t>
            </w:r>
            <w:r>
              <w:rPr>
                <w:rFonts w:hint="eastAsia" w:ascii="黑体" w:hAnsi="黑体" w:eastAsia="黑体" w:cs="黑体"/>
                <w:b/>
                <w:color w:val="auto"/>
                <w:sz w:val="18"/>
                <w:szCs w:val="18"/>
                <w:highlight w:val="none"/>
                <w:bdr w:val="single" w:sz="0" w:space="0"/>
                <w:lang w:val="en-US" w:eastAsia="zh-CN"/>
              </w:rPr>
              <w:t>的</w:t>
            </w:r>
            <w:r>
              <w:rPr>
                <w:rFonts w:hint="eastAsia" w:ascii="黑体" w:hAnsi="黑体" w:eastAsia="黑体" w:cs="黑体"/>
                <w:b/>
                <w:color w:val="auto"/>
                <w:sz w:val="18"/>
                <w:szCs w:val="18"/>
                <w:highlight w:val="none"/>
                <w:bdr w:val="single" w:sz="0" w:space="0"/>
              </w:rPr>
              <w:t>中部不得设孔，中肋厚度不应小于</w:t>
            </w:r>
            <w:r>
              <w:rPr>
                <w:rFonts w:hint="eastAsia" w:ascii="宋体" w:hAnsi="宋体" w:eastAsia="宋体" w:cs="宋体"/>
                <w:b/>
                <w:color w:val="auto"/>
                <w:sz w:val="18"/>
                <w:szCs w:val="18"/>
                <w:highlight w:val="none"/>
                <w:bdr w:val="single" w:sz="0" w:space="0"/>
              </w:rPr>
              <w:t>20mm</w:t>
            </w:r>
            <w:r>
              <w:rPr>
                <w:rFonts w:hint="eastAsia" w:ascii="黑体" w:hAnsi="黑体" w:eastAsia="黑体" w:cs="黑体"/>
                <w:b/>
                <w:color w:val="auto"/>
                <w:sz w:val="18"/>
                <w:szCs w:val="18"/>
                <w:highlight w:val="none"/>
                <w:bdr w:val="single" w:sz="0" w:space="0"/>
              </w:rPr>
              <w:t>。</w:t>
            </w:r>
          </w:p>
        </w:tc>
      </w:tr>
      <w:tr w14:paraId="429563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603" w:hRule="atLeast"/>
        </w:trPr>
        <w:tc>
          <w:tcPr>
            <w:tcW w:w="4686" w:type="dxa"/>
            <w:vAlign w:val="center"/>
          </w:tcPr>
          <w:p w14:paraId="5E8125D6">
            <w:pPr>
              <w:tabs>
                <w:tab w:val="left" w:pos="851"/>
              </w:tabs>
              <w:spacing w:before="120" w:beforeLines="50" w:after="120" w:afterLines="50" w:line="360" w:lineRule="auto"/>
              <w:rPr>
                <w:rFonts w:ascii="Times New Roman" w:hAnsi="Times New Roman"/>
                <w:b/>
                <w:bCs/>
                <w:szCs w:val="21"/>
              </w:rPr>
            </w:pPr>
          </w:p>
        </w:tc>
        <w:tc>
          <w:tcPr>
            <w:tcW w:w="4716" w:type="dxa"/>
            <w:vAlign w:val="center"/>
          </w:tcPr>
          <w:p w14:paraId="64F8E29F">
            <w:pPr>
              <w:ind w:firstLine="361" w:firstLineChars="200"/>
              <w:rPr>
                <w:b/>
                <w:bCs w:val="0"/>
                <w:color w:val="auto"/>
                <w:sz w:val="18"/>
                <w:szCs w:val="18"/>
                <w:highlight w:val="none"/>
                <w:u w:val="single"/>
              </w:rPr>
            </w:pPr>
            <w:r>
              <w:rPr>
                <w:b/>
                <w:bCs w:val="0"/>
                <w:color w:val="auto"/>
                <w:sz w:val="18"/>
                <w:szCs w:val="18"/>
                <w:highlight w:val="none"/>
                <w:u w:val="single"/>
              </w:rPr>
              <w:t>表3.2.1</w:t>
            </w:r>
            <w:r>
              <w:rPr>
                <w:rFonts w:hint="eastAsia"/>
                <w:b/>
                <w:bCs/>
                <w:color w:val="auto"/>
                <w:sz w:val="18"/>
                <w:szCs w:val="18"/>
                <w:highlight w:val="none"/>
                <w:u w:val="single"/>
              </w:rPr>
              <w:t>A</w:t>
            </w:r>
            <w:r>
              <w:rPr>
                <w:b/>
                <w:bCs w:val="0"/>
                <w:color w:val="auto"/>
                <w:sz w:val="18"/>
                <w:szCs w:val="18"/>
                <w:highlight w:val="none"/>
                <w:u w:val="single"/>
              </w:rPr>
              <w:t xml:space="preserve">  </w:t>
            </w:r>
            <w:r>
              <w:rPr>
                <w:rFonts w:hint="eastAsia"/>
                <w:b/>
                <w:bCs w:val="0"/>
                <w:color w:val="auto"/>
                <w:sz w:val="18"/>
                <w:szCs w:val="18"/>
                <w:highlight w:val="none"/>
                <w:u w:val="single"/>
              </w:rPr>
              <w:t>块体</w:t>
            </w:r>
            <w:r>
              <w:rPr>
                <w:b/>
                <w:bCs w:val="0"/>
                <w:color w:val="auto"/>
                <w:sz w:val="18"/>
                <w:szCs w:val="18"/>
                <w:highlight w:val="none"/>
                <w:u w:val="single"/>
              </w:rPr>
              <w:t>孔洞率、壁及肋厚度要求</w:t>
            </w:r>
          </w:p>
          <w:tbl>
            <w:tblPr>
              <w:tblStyle w:val="7"/>
              <w:tblW w:w="4453" w:type="dxa"/>
              <w:tblInd w:w="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0"/>
              <w:gridCol w:w="1173"/>
              <w:gridCol w:w="572"/>
              <w:gridCol w:w="478"/>
              <w:gridCol w:w="613"/>
              <w:gridCol w:w="1167"/>
            </w:tblGrid>
            <w:tr w14:paraId="0492A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3" w:type="dxa"/>
                  <w:gridSpan w:val="2"/>
                  <w:noWrap w:val="0"/>
                  <w:vAlign w:val="center"/>
                </w:tcPr>
                <w:p w14:paraId="11202EC9">
                  <w:pPr>
                    <w:jc w:val="center"/>
                    <w:rPr>
                      <w:b w:val="0"/>
                      <w:bCs/>
                      <w:color w:val="auto"/>
                      <w:sz w:val="18"/>
                      <w:szCs w:val="18"/>
                      <w:highlight w:val="none"/>
                      <w:u w:val="single"/>
                    </w:rPr>
                  </w:pPr>
                  <w:r>
                    <w:rPr>
                      <w:b w:val="0"/>
                      <w:bCs/>
                      <w:color w:val="auto"/>
                      <w:sz w:val="18"/>
                      <w:szCs w:val="18"/>
                      <w:highlight w:val="none"/>
                      <w:u w:val="single"/>
                    </w:rPr>
                    <w:t>块体材料类型及用途</w:t>
                  </w:r>
                </w:p>
              </w:tc>
              <w:tc>
                <w:tcPr>
                  <w:tcW w:w="572" w:type="dxa"/>
                  <w:noWrap w:val="0"/>
                  <w:vAlign w:val="center"/>
                </w:tcPr>
                <w:p w14:paraId="2F31255A">
                  <w:pPr>
                    <w:jc w:val="center"/>
                    <w:rPr>
                      <w:b w:val="0"/>
                      <w:bCs/>
                      <w:color w:val="auto"/>
                      <w:sz w:val="18"/>
                      <w:szCs w:val="18"/>
                      <w:highlight w:val="none"/>
                      <w:u w:val="single"/>
                    </w:rPr>
                  </w:pPr>
                  <w:r>
                    <w:rPr>
                      <w:b w:val="0"/>
                      <w:bCs/>
                      <w:color w:val="auto"/>
                      <w:sz w:val="18"/>
                      <w:szCs w:val="18"/>
                      <w:highlight w:val="none"/>
                      <w:u w:val="single"/>
                    </w:rPr>
                    <w:t>孔洞率（％）</w:t>
                  </w:r>
                </w:p>
              </w:tc>
              <w:tc>
                <w:tcPr>
                  <w:tcW w:w="478" w:type="dxa"/>
                  <w:noWrap w:val="0"/>
                  <w:vAlign w:val="center"/>
                </w:tcPr>
                <w:p w14:paraId="120D4726">
                  <w:pPr>
                    <w:jc w:val="center"/>
                    <w:rPr>
                      <w:b w:val="0"/>
                      <w:bCs/>
                      <w:color w:val="auto"/>
                      <w:sz w:val="18"/>
                      <w:szCs w:val="18"/>
                      <w:highlight w:val="none"/>
                      <w:u w:val="single"/>
                    </w:rPr>
                  </w:pPr>
                  <w:r>
                    <w:rPr>
                      <w:b w:val="0"/>
                      <w:bCs/>
                      <w:color w:val="auto"/>
                      <w:sz w:val="18"/>
                      <w:szCs w:val="18"/>
                      <w:highlight w:val="none"/>
                      <w:u w:val="single"/>
                    </w:rPr>
                    <w:t>最小外壁（mm）</w:t>
                  </w:r>
                </w:p>
              </w:tc>
              <w:tc>
                <w:tcPr>
                  <w:tcW w:w="613" w:type="dxa"/>
                  <w:noWrap w:val="0"/>
                  <w:vAlign w:val="center"/>
                </w:tcPr>
                <w:p w14:paraId="6FAE97A3">
                  <w:pPr>
                    <w:jc w:val="center"/>
                    <w:rPr>
                      <w:b w:val="0"/>
                      <w:bCs/>
                      <w:color w:val="auto"/>
                      <w:sz w:val="18"/>
                      <w:szCs w:val="18"/>
                      <w:highlight w:val="none"/>
                      <w:u w:val="single"/>
                    </w:rPr>
                  </w:pPr>
                  <w:r>
                    <w:rPr>
                      <w:b w:val="0"/>
                      <w:bCs/>
                      <w:color w:val="auto"/>
                      <w:sz w:val="18"/>
                      <w:szCs w:val="18"/>
                      <w:highlight w:val="none"/>
                      <w:u w:val="single"/>
                    </w:rPr>
                    <w:t>最小肋厚（mm）</w:t>
                  </w:r>
                </w:p>
              </w:tc>
              <w:tc>
                <w:tcPr>
                  <w:tcW w:w="1167" w:type="dxa"/>
                  <w:noWrap w:val="0"/>
                  <w:vAlign w:val="center"/>
                </w:tcPr>
                <w:p w14:paraId="2A391941">
                  <w:pPr>
                    <w:jc w:val="center"/>
                    <w:rPr>
                      <w:b w:val="0"/>
                      <w:bCs/>
                      <w:color w:val="auto"/>
                      <w:sz w:val="18"/>
                      <w:szCs w:val="18"/>
                      <w:highlight w:val="none"/>
                      <w:u w:val="single"/>
                    </w:rPr>
                  </w:pPr>
                  <w:r>
                    <w:rPr>
                      <w:b w:val="0"/>
                      <w:bCs/>
                      <w:color w:val="auto"/>
                      <w:sz w:val="18"/>
                      <w:szCs w:val="18"/>
                      <w:highlight w:val="none"/>
                      <w:u w:val="single"/>
                    </w:rPr>
                    <w:t>其它要求</w:t>
                  </w:r>
                </w:p>
              </w:tc>
            </w:tr>
            <w:tr w14:paraId="4E7BF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 w:type="dxa"/>
                  <w:vMerge w:val="restart"/>
                  <w:noWrap w:val="0"/>
                  <w:vAlign w:val="center"/>
                </w:tcPr>
                <w:p w14:paraId="1F3FDD8C">
                  <w:pPr>
                    <w:jc w:val="center"/>
                    <w:rPr>
                      <w:b w:val="0"/>
                      <w:bCs/>
                      <w:color w:val="auto"/>
                      <w:sz w:val="18"/>
                      <w:szCs w:val="18"/>
                      <w:highlight w:val="none"/>
                      <w:u w:val="single"/>
                    </w:rPr>
                  </w:pPr>
                  <w:r>
                    <w:rPr>
                      <w:b w:val="0"/>
                      <w:bCs/>
                      <w:color w:val="auto"/>
                      <w:sz w:val="18"/>
                      <w:szCs w:val="18"/>
                      <w:highlight w:val="none"/>
                      <w:u w:val="single"/>
                    </w:rPr>
                    <w:t>砖</w:t>
                  </w:r>
                </w:p>
              </w:tc>
              <w:tc>
                <w:tcPr>
                  <w:tcW w:w="1173" w:type="dxa"/>
                  <w:noWrap w:val="0"/>
                  <w:vAlign w:val="center"/>
                </w:tcPr>
                <w:p w14:paraId="342AE057">
                  <w:pPr>
                    <w:jc w:val="center"/>
                    <w:rPr>
                      <w:b w:val="0"/>
                      <w:bCs/>
                      <w:color w:val="auto"/>
                      <w:sz w:val="18"/>
                      <w:szCs w:val="18"/>
                      <w:highlight w:val="none"/>
                      <w:u w:val="single"/>
                    </w:rPr>
                  </w:pPr>
                  <w:r>
                    <w:rPr>
                      <w:b w:val="0"/>
                      <w:bCs/>
                      <w:color w:val="auto"/>
                      <w:sz w:val="18"/>
                      <w:szCs w:val="18"/>
                      <w:highlight w:val="none"/>
                      <w:u w:val="single"/>
                    </w:rPr>
                    <w:t>用于承重墙</w:t>
                  </w:r>
                </w:p>
                <w:p w14:paraId="2808E773">
                  <w:pPr>
                    <w:jc w:val="center"/>
                    <w:rPr>
                      <w:rFonts w:hint="default" w:eastAsia="宋体"/>
                      <w:b w:val="0"/>
                      <w:bCs/>
                      <w:color w:val="auto"/>
                      <w:sz w:val="18"/>
                      <w:szCs w:val="18"/>
                      <w:highlight w:val="none"/>
                      <w:u w:val="single"/>
                      <w:lang w:val="en-US" w:eastAsia="zh-CN"/>
                    </w:rPr>
                  </w:pPr>
                  <w:r>
                    <w:rPr>
                      <w:rFonts w:hint="eastAsia"/>
                      <w:b w:val="0"/>
                      <w:bCs/>
                      <w:color w:val="auto"/>
                      <w:sz w:val="18"/>
                      <w:szCs w:val="18"/>
                      <w:highlight w:val="none"/>
                      <w:u w:val="single"/>
                      <w:lang w:val="en-US" w:eastAsia="zh-CN"/>
                    </w:rPr>
                    <w:t>及自承重墙</w:t>
                  </w:r>
                </w:p>
              </w:tc>
              <w:tc>
                <w:tcPr>
                  <w:tcW w:w="572" w:type="dxa"/>
                  <w:noWrap w:val="0"/>
                  <w:vAlign w:val="center"/>
                </w:tcPr>
                <w:p w14:paraId="2D466D55">
                  <w:pPr>
                    <w:jc w:val="center"/>
                    <w:rPr>
                      <w:b w:val="0"/>
                      <w:bCs/>
                      <w:color w:val="auto"/>
                      <w:sz w:val="18"/>
                      <w:szCs w:val="18"/>
                      <w:highlight w:val="none"/>
                      <w:u w:val="single"/>
                    </w:rPr>
                  </w:pPr>
                  <w:r>
                    <w:rPr>
                      <w:b w:val="0"/>
                      <w:bCs/>
                      <w:color w:val="auto"/>
                      <w:sz w:val="18"/>
                      <w:szCs w:val="18"/>
                      <w:highlight w:val="none"/>
                      <w:u w:val="single"/>
                    </w:rPr>
                    <w:t>≤ 35</w:t>
                  </w:r>
                </w:p>
              </w:tc>
              <w:tc>
                <w:tcPr>
                  <w:tcW w:w="478" w:type="dxa"/>
                  <w:noWrap w:val="0"/>
                  <w:vAlign w:val="center"/>
                </w:tcPr>
                <w:p w14:paraId="2D2D5130">
                  <w:pPr>
                    <w:jc w:val="center"/>
                    <w:rPr>
                      <w:b w:val="0"/>
                      <w:bCs/>
                      <w:color w:val="auto"/>
                      <w:sz w:val="18"/>
                      <w:szCs w:val="18"/>
                      <w:highlight w:val="none"/>
                      <w:u w:val="single"/>
                    </w:rPr>
                  </w:pPr>
                  <w:r>
                    <w:rPr>
                      <w:b w:val="0"/>
                      <w:bCs/>
                      <w:color w:val="auto"/>
                      <w:sz w:val="18"/>
                      <w:szCs w:val="18"/>
                      <w:highlight w:val="none"/>
                      <w:u w:val="single"/>
                    </w:rPr>
                    <w:t>15</w:t>
                  </w:r>
                </w:p>
              </w:tc>
              <w:tc>
                <w:tcPr>
                  <w:tcW w:w="613" w:type="dxa"/>
                  <w:noWrap w:val="0"/>
                  <w:vAlign w:val="center"/>
                </w:tcPr>
                <w:p w14:paraId="75776C05">
                  <w:pPr>
                    <w:jc w:val="center"/>
                    <w:rPr>
                      <w:b w:val="0"/>
                      <w:bCs/>
                      <w:color w:val="auto"/>
                      <w:sz w:val="18"/>
                      <w:szCs w:val="18"/>
                      <w:highlight w:val="none"/>
                      <w:u w:val="single"/>
                    </w:rPr>
                  </w:pPr>
                  <w:r>
                    <w:rPr>
                      <w:b w:val="0"/>
                      <w:bCs/>
                      <w:color w:val="auto"/>
                      <w:sz w:val="18"/>
                      <w:szCs w:val="18"/>
                      <w:highlight w:val="none"/>
                      <w:u w:val="single"/>
                    </w:rPr>
                    <w:t>15</w:t>
                  </w:r>
                </w:p>
              </w:tc>
              <w:tc>
                <w:tcPr>
                  <w:tcW w:w="1167" w:type="dxa"/>
                  <w:noWrap w:val="0"/>
                  <w:vAlign w:val="center"/>
                </w:tcPr>
                <w:p w14:paraId="0886E08E">
                  <w:pPr>
                    <w:jc w:val="center"/>
                    <w:rPr>
                      <w:b w:val="0"/>
                      <w:bCs/>
                      <w:color w:val="auto"/>
                      <w:sz w:val="18"/>
                      <w:szCs w:val="18"/>
                      <w:highlight w:val="none"/>
                      <w:u w:val="single"/>
                    </w:rPr>
                  </w:pPr>
                  <w:r>
                    <w:rPr>
                      <w:b w:val="0"/>
                      <w:bCs/>
                      <w:color w:val="auto"/>
                      <w:sz w:val="18"/>
                      <w:szCs w:val="18"/>
                      <w:highlight w:val="none"/>
                      <w:u w:val="single"/>
                    </w:rPr>
                    <w:t>孔的长度和宽度比应小于2</w:t>
                  </w:r>
                </w:p>
              </w:tc>
            </w:tr>
            <w:tr w14:paraId="10354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 w:type="dxa"/>
                  <w:vMerge w:val="continue"/>
                  <w:noWrap w:val="0"/>
                  <w:vAlign w:val="center"/>
                </w:tcPr>
                <w:p w14:paraId="3DA9EE71">
                  <w:pPr>
                    <w:jc w:val="center"/>
                    <w:rPr>
                      <w:b w:val="0"/>
                      <w:bCs/>
                      <w:color w:val="auto"/>
                      <w:sz w:val="18"/>
                      <w:szCs w:val="18"/>
                      <w:highlight w:val="none"/>
                      <w:u w:val="single"/>
                    </w:rPr>
                  </w:pPr>
                </w:p>
              </w:tc>
              <w:tc>
                <w:tcPr>
                  <w:tcW w:w="1173" w:type="dxa"/>
                  <w:noWrap w:val="0"/>
                  <w:vAlign w:val="center"/>
                </w:tcPr>
                <w:p w14:paraId="77861848">
                  <w:pPr>
                    <w:jc w:val="both"/>
                    <w:rPr>
                      <w:b w:val="0"/>
                      <w:bCs/>
                      <w:color w:val="auto"/>
                      <w:sz w:val="18"/>
                      <w:szCs w:val="18"/>
                      <w:highlight w:val="none"/>
                      <w:u w:val="single"/>
                    </w:rPr>
                  </w:pPr>
                  <w:r>
                    <w:rPr>
                      <w:b w:val="0"/>
                      <w:bCs/>
                      <w:color w:val="auto"/>
                      <w:sz w:val="18"/>
                      <w:szCs w:val="18"/>
                      <w:highlight w:val="none"/>
                      <w:u w:val="single"/>
                    </w:rPr>
                    <w:t>用于</w:t>
                  </w:r>
                  <w:r>
                    <w:rPr>
                      <w:rFonts w:hint="eastAsia"/>
                      <w:b w:val="0"/>
                      <w:bCs/>
                      <w:color w:val="auto"/>
                      <w:sz w:val="18"/>
                      <w:szCs w:val="18"/>
                      <w:highlight w:val="none"/>
                      <w:u w:val="single"/>
                      <w:lang w:val="en-US" w:eastAsia="zh-CN"/>
                    </w:rPr>
                    <w:t>填充</w:t>
                  </w:r>
                  <w:r>
                    <w:rPr>
                      <w:b w:val="0"/>
                      <w:bCs/>
                      <w:color w:val="auto"/>
                      <w:sz w:val="18"/>
                      <w:szCs w:val="18"/>
                      <w:highlight w:val="none"/>
                      <w:u w:val="single"/>
                    </w:rPr>
                    <w:t>墙</w:t>
                  </w:r>
                </w:p>
              </w:tc>
              <w:tc>
                <w:tcPr>
                  <w:tcW w:w="572" w:type="dxa"/>
                  <w:noWrap w:val="0"/>
                  <w:vAlign w:val="center"/>
                </w:tcPr>
                <w:p w14:paraId="27C8CC7D">
                  <w:pPr>
                    <w:jc w:val="center"/>
                    <w:rPr>
                      <w:b w:val="0"/>
                      <w:bCs/>
                      <w:color w:val="auto"/>
                      <w:sz w:val="18"/>
                      <w:szCs w:val="18"/>
                      <w:highlight w:val="none"/>
                      <w:u w:val="single"/>
                    </w:rPr>
                  </w:pPr>
                  <w:r>
                    <w:rPr>
                      <w:b w:val="0"/>
                      <w:bCs/>
                      <w:color w:val="auto"/>
                      <w:sz w:val="18"/>
                      <w:szCs w:val="18"/>
                      <w:highlight w:val="none"/>
                      <w:u w:val="single"/>
                    </w:rPr>
                    <w:t>—</w:t>
                  </w:r>
                </w:p>
              </w:tc>
              <w:tc>
                <w:tcPr>
                  <w:tcW w:w="478" w:type="dxa"/>
                  <w:noWrap w:val="0"/>
                  <w:vAlign w:val="center"/>
                </w:tcPr>
                <w:p w14:paraId="308D64B4">
                  <w:pPr>
                    <w:jc w:val="center"/>
                    <w:rPr>
                      <w:b w:val="0"/>
                      <w:bCs/>
                      <w:color w:val="auto"/>
                      <w:sz w:val="18"/>
                      <w:szCs w:val="18"/>
                      <w:highlight w:val="none"/>
                      <w:u w:val="single"/>
                    </w:rPr>
                  </w:pPr>
                  <w:r>
                    <w:rPr>
                      <w:b w:val="0"/>
                      <w:bCs/>
                      <w:color w:val="auto"/>
                      <w:sz w:val="18"/>
                      <w:szCs w:val="18"/>
                      <w:highlight w:val="none"/>
                      <w:u w:val="single"/>
                    </w:rPr>
                    <w:t>10</w:t>
                  </w:r>
                </w:p>
              </w:tc>
              <w:tc>
                <w:tcPr>
                  <w:tcW w:w="613" w:type="dxa"/>
                  <w:noWrap w:val="0"/>
                  <w:vAlign w:val="center"/>
                </w:tcPr>
                <w:p w14:paraId="400BE4EC">
                  <w:pPr>
                    <w:jc w:val="center"/>
                    <w:rPr>
                      <w:b w:val="0"/>
                      <w:bCs/>
                      <w:color w:val="auto"/>
                      <w:sz w:val="18"/>
                      <w:szCs w:val="18"/>
                      <w:highlight w:val="none"/>
                      <w:u w:val="single"/>
                    </w:rPr>
                  </w:pPr>
                  <w:r>
                    <w:rPr>
                      <w:b w:val="0"/>
                      <w:bCs/>
                      <w:color w:val="auto"/>
                      <w:sz w:val="18"/>
                      <w:szCs w:val="18"/>
                      <w:highlight w:val="none"/>
                      <w:u w:val="single"/>
                    </w:rPr>
                    <w:t>10</w:t>
                  </w:r>
                </w:p>
              </w:tc>
              <w:tc>
                <w:tcPr>
                  <w:tcW w:w="1167" w:type="dxa"/>
                  <w:noWrap w:val="0"/>
                  <w:vAlign w:val="center"/>
                </w:tcPr>
                <w:p w14:paraId="2D90604C">
                  <w:pPr>
                    <w:jc w:val="center"/>
                    <w:rPr>
                      <w:b w:val="0"/>
                      <w:bCs/>
                      <w:color w:val="auto"/>
                      <w:sz w:val="18"/>
                      <w:szCs w:val="18"/>
                      <w:highlight w:val="none"/>
                      <w:u w:val="single"/>
                    </w:rPr>
                  </w:pPr>
                  <w:r>
                    <w:rPr>
                      <w:b w:val="0"/>
                      <w:bCs/>
                      <w:color w:val="auto"/>
                      <w:sz w:val="18"/>
                      <w:szCs w:val="18"/>
                      <w:highlight w:val="none"/>
                      <w:u w:val="single"/>
                    </w:rPr>
                    <w:t>—</w:t>
                  </w:r>
                </w:p>
              </w:tc>
            </w:tr>
            <w:tr w14:paraId="57B95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 w:type="dxa"/>
                  <w:vMerge w:val="restart"/>
                  <w:noWrap w:val="0"/>
                  <w:vAlign w:val="center"/>
                </w:tcPr>
                <w:p w14:paraId="3986F897">
                  <w:pPr>
                    <w:jc w:val="center"/>
                    <w:rPr>
                      <w:rFonts w:hint="eastAsia"/>
                      <w:b w:val="0"/>
                      <w:bCs/>
                      <w:color w:val="auto"/>
                      <w:sz w:val="18"/>
                      <w:szCs w:val="18"/>
                      <w:highlight w:val="none"/>
                      <w:u w:val="single"/>
                      <w:lang w:val="en-US" w:eastAsia="zh-CN"/>
                    </w:rPr>
                  </w:pPr>
                  <w:r>
                    <w:rPr>
                      <w:rFonts w:hint="eastAsia"/>
                      <w:b w:val="0"/>
                      <w:bCs/>
                      <w:color w:val="auto"/>
                      <w:sz w:val="18"/>
                      <w:szCs w:val="18"/>
                      <w:highlight w:val="none"/>
                      <w:u w:val="single"/>
                      <w:lang w:val="en-US" w:eastAsia="zh-CN"/>
                    </w:rPr>
                    <w:t>非烧结</w:t>
                  </w:r>
                </w:p>
                <w:p w14:paraId="310DAC2D">
                  <w:pPr>
                    <w:jc w:val="center"/>
                    <w:rPr>
                      <w:b w:val="0"/>
                      <w:bCs/>
                      <w:color w:val="auto"/>
                      <w:sz w:val="18"/>
                      <w:szCs w:val="18"/>
                      <w:highlight w:val="none"/>
                      <w:u w:val="single"/>
                    </w:rPr>
                  </w:pPr>
                  <w:r>
                    <w:rPr>
                      <w:b w:val="0"/>
                      <w:bCs/>
                      <w:color w:val="auto"/>
                      <w:sz w:val="18"/>
                      <w:szCs w:val="18"/>
                      <w:highlight w:val="none"/>
                      <w:u w:val="single"/>
                    </w:rPr>
                    <w:t>砌 块</w:t>
                  </w:r>
                </w:p>
              </w:tc>
              <w:tc>
                <w:tcPr>
                  <w:tcW w:w="1173" w:type="dxa"/>
                  <w:noWrap w:val="0"/>
                  <w:vAlign w:val="center"/>
                </w:tcPr>
                <w:p w14:paraId="3F66F3AE">
                  <w:pPr>
                    <w:jc w:val="center"/>
                    <w:rPr>
                      <w:b w:val="0"/>
                      <w:bCs/>
                      <w:color w:val="auto"/>
                      <w:sz w:val="18"/>
                      <w:szCs w:val="18"/>
                      <w:highlight w:val="none"/>
                      <w:u w:val="single"/>
                    </w:rPr>
                  </w:pPr>
                  <w:r>
                    <w:rPr>
                      <w:b w:val="0"/>
                      <w:bCs/>
                      <w:color w:val="auto"/>
                      <w:sz w:val="18"/>
                      <w:szCs w:val="18"/>
                      <w:highlight w:val="none"/>
                      <w:u w:val="single"/>
                    </w:rPr>
                    <w:t>用于承重墙</w:t>
                  </w:r>
                </w:p>
                <w:p w14:paraId="7A525078">
                  <w:pPr>
                    <w:jc w:val="center"/>
                    <w:rPr>
                      <w:b w:val="0"/>
                      <w:bCs/>
                      <w:color w:val="auto"/>
                      <w:sz w:val="18"/>
                      <w:szCs w:val="18"/>
                      <w:highlight w:val="none"/>
                      <w:u w:val="single"/>
                    </w:rPr>
                  </w:pPr>
                  <w:r>
                    <w:rPr>
                      <w:rFonts w:hint="eastAsia"/>
                      <w:b w:val="0"/>
                      <w:bCs/>
                      <w:color w:val="auto"/>
                      <w:sz w:val="18"/>
                      <w:szCs w:val="18"/>
                      <w:highlight w:val="none"/>
                      <w:u w:val="single"/>
                      <w:lang w:val="en-US" w:eastAsia="zh-CN"/>
                    </w:rPr>
                    <w:t>及自承重墙</w:t>
                  </w:r>
                </w:p>
              </w:tc>
              <w:tc>
                <w:tcPr>
                  <w:tcW w:w="572" w:type="dxa"/>
                  <w:noWrap w:val="0"/>
                  <w:vAlign w:val="center"/>
                </w:tcPr>
                <w:p w14:paraId="413DE2FE">
                  <w:pPr>
                    <w:jc w:val="center"/>
                    <w:rPr>
                      <w:b w:val="0"/>
                      <w:bCs/>
                      <w:color w:val="auto"/>
                      <w:sz w:val="18"/>
                      <w:szCs w:val="18"/>
                      <w:highlight w:val="none"/>
                      <w:u w:val="single"/>
                    </w:rPr>
                  </w:pPr>
                  <w:r>
                    <w:rPr>
                      <w:b w:val="0"/>
                      <w:bCs/>
                      <w:color w:val="auto"/>
                      <w:sz w:val="18"/>
                      <w:szCs w:val="18"/>
                      <w:highlight w:val="none"/>
                      <w:u w:val="single"/>
                    </w:rPr>
                    <w:t>≤ 47</w:t>
                  </w:r>
                </w:p>
              </w:tc>
              <w:tc>
                <w:tcPr>
                  <w:tcW w:w="478" w:type="dxa"/>
                  <w:noWrap w:val="0"/>
                  <w:vAlign w:val="center"/>
                </w:tcPr>
                <w:p w14:paraId="3BAC7B6E">
                  <w:pPr>
                    <w:jc w:val="center"/>
                    <w:rPr>
                      <w:b w:val="0"/>
                      <w:bCs/>
                      <w:color w:val="auto"/>
                      <w:sz w:val="18"/>
                      <w:szCs w:val="18"/>
                      <w:highlight w:val="none"/>
                      <w:u w:val="single"/>
                    </w:rPr>
                  </w:pPr>
                  <w:r>
                    <w:rPr>
                      <w:b w:val="0"/>
                      <w:bCs/>
                      <w:color w:val="auto"/>
                      <w:sz w:val="18"/>
                      <w:szCs w:val="18"/>
                      <w:highlight w:val="none"/>
                      <w:u w:val="single"/>
                    </w:rPr>
                    <w:t>30</w:t>
                  </w:r>
                </w:p>
              </w:tc>
              <w:tc>
                <w:tcPr>
                  <w:tcW w:w="613" w:type="dxa"/>
                  <w:noWrap w:val="0"/>
                  <w:vAlign w:val="center"/>
                </w:tcPr>
                <w:p w14:paraId="78FC3442">
                  <w:pPr>
                    <w:jc w:val="center"/>
                    <w:rPr>
                      <w:b w:val="0"/>
                      <w:bCs/>
                      <w:color w:val="auto"/>
                      <w:sz w:val="18"/>
                      <w:szCs w:val="18"/>
                      <w:highlight w:val="none"/>
                      <w:u w:val="single"/>
                    </w:rPr>
                  </w:pPr>
                  <w:r>
                    <w:rPr>
                      <w:b w:val="0"/>
                      <w:bCs/>
                      <w:color w:val="auto"/>
                      <w:sz w:val="18"/>
                      <w:szCs w:val="18"/>
                      <w:highlight w:val="none"/>
                      <w:u w:val="single"/>
                    </w:rPr>
                    <w:t>25</w:t>
                  </w:r>
                </w:p>
              </w:tc>
              <w:tc>
                <w:tcPr>
                  <w:tcW w:w="1167" w:type="dxa"/>
                  <w:noWrap w:val="0"/>
                  <w:vAlign w:val="center"/>
                </w:tcPr>
                <w:p w14:paraId="3EBD6819">
                  <w:pPr>
                    <w:jc w:val="center"/>
                    <w:rPr>
                      <w:b w:val="0"/>
                      <w:bCs/>
                      <w:color w:val="auto"/>
                      <w:sz w:val="18"/>
                      <w:szCs w:val="18"/>
                      <w:highlight w:val="none"/>
                      <w:u w:val="single"/>
                    </w:rPr>
                  </w:pPr>
                  <w:r>
                    <w:rPr>
                      <w:b w:val="0"/>
                      <w:bCs/>
                      <w:color w:val="auto"/>
                      <w:sz w:val="18"/>
                      <w:szCs w:val="18"/>
                      <w:highlight w:val="none"/>
                      <w:u w:val="single"/>
                    </w:rPr>
                    <w:t>孔的圆角半径应不小于20 mm</w:t>
                  </w:r>
                </w:p>
              </w:tc>
            </w:tr>
            <w:tr w14:paraId="60C99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 w:type="dxa"/>
                  <w:vMerge w:val="continue"/>
                  <w:noWrap w:val="0"/>
                  <w:vAlign w:val="center"/>
                </w:tcPr>
                <w:p w14:paraId="36620805">
                  <w:pPr>
                    <w:jc w:val="center"/>
                    <w:rPr>
                      <w:b w:val="0"/>
                      <w:bCs/>
                      <w:color w:val="auto"/>
                      <w:sz w:val="18"/>
                      <w:szCs w:val="18"/>
                      <w:highlight w:val="none"/>
                      <w:u w:val="single"/>
                    </w:rPr>
                  </w:pPr>
                </w:p>
              </w:tc>
              <w:tc>
                <w:tcPr>
                  <w:tcW w:w="1173" w:type="dxa"/>
                  <w:noWrap w:val="0"/>
                  <w:vAlign w:val="center"/>
                </w:tcPr>
                <w:p w14:paraId="48D3EB24">
                  <w:pPr>
                    <w:jc w:val="both"/>
                    <w:rPr>
                      <w:b w:val="0"/>
                      <w:bCs/>
                      <w:color w:val="auto"/>
                      <w:sz w:val="18"/>
                      <w:szCs w:val="18"/>
                      <w:highlight w:val="none"/>
                      <w:u w:val="single"/>
                    </w:rPr>
                  </w:pPr>
                  <w:r>
                    <w:rPr>
                      <w:b w:val="0"/>
                      <w:bCs/>
                      <w:color w:val="auto"/>
                      <w:sz w:val="18"/>
                      <w:szCs w:val="18"/>
                      <w:highlight w:val="none"/>
                      <w:u w:val="single"/>
                    </w:rPr>
                    <w:t>用于</w:t>
                  </w:r>
                  <w:r>
                    <w:rPr>
                      <w:rFonts w:hint="eastAsia"/>
                      <w:b w:val="0"/>
                      <w:bCs/>
                      <w:color w:val="auto"/>
                      <w:sz w:val="18"/>
                      <w:szCs w:val="18"/>
                      <w:highlight w:val="none"/>
                      <w:u w:val="single"/>
                      <w:lang w:val="en-US" w:eastAsia="zh-CN"/>
                    </w:rPr>
                    <w:t>填充</w:t>
                  </w:r>
                  <w:r>
                    <w:rPr>
                      <w:b w:val="0"/>
                      <w:bCs/>
                      <w:color w:val="auto"/>
                      <w:sz w:val="18"/>
                      <w:szCs w:val="18"/>
                      <w:highlight w:val="none"/>
                      <w:u w:val="single"/>
                    </w:rPr>
                    <w:t>墙</w:t>
                  </w:r>
                </w:p>
              </w:tc>
              <w:tc>
                <w:tcPr>
                  <w:tcW w:w="572" w:type="dxa"/>
                  <w:noWrap w:val="0"/>
                  <w:vAlign w:val="center"/>
                </w:tcPr>
                <w:p w14:paraId="421AD5EA">
                  <w:pPr>
                    <w:jc w:val="center"/>
                    <w:rPr>
                      <w:b w:val="0"/>
                      <w:bCs/>
                      <w:color w:val="auto"/>
                      <w:sz w:val="18"/>
                      <w:szCs w:val="18"/>
                      <w:highlight w:val="none"/>
                      <w:u w:val="single"/>
                    </w:rPr>
                  </w:pPr>
                  <w:r>
                    <w:rPr>
                      <w:b w:val="0"/>
                      <w:bCs/>
                      <w:color w:val="auto"/>
                      <w:sz w:val="18"/>
                      <w:szCs w:val="18"/>
                      <w:highlight w:val="none"/>
                      <w:u w:val="single"/>
                    </w:rPr>
                    <w:t>—</w:t>
                  </w:r>
                </w:p>
              </w:tc>
              <w:tc>
                <w:tcPr>
                  <w:tcW w:w="478" w:type="dxa"/>
                  <w:noWrap w:val="0"/>
                  <w:vAlign w:val="center"/>
                </w:tcPr>
                <w:p w14:paraId="7C1F3A8F">
                  <w:pPr>
                    <w:jc w:val="center"/>
                    <w:rPr>
                      <w:b w:val="0"/>
                      <w:bCs/>
                      <w:color w:val="auto"/>
                      <w:sz w:val="18"/>
                      <w:szCs w:val="18"/>
                      <w:highlight w:val="none"/>
                      <w:u w:val="single"/>
                    </w:rPr>
                  </w:pPr>
                  <w:r>
                    <w:rPr>
                      <w:b w:val="0"/>
                      <w:bCs/>
                      <w:color w:val="auto"/>
                      <w:sz w:val="18"/>
                      <w:szCs w:val="18"/>
                      <w:highlight w:val="none"/>
                      <w:u w:val="single"/>
                    </w:rPr>
                    <w:t>15</w:t>
                  </w:r>
                </w:p>
              </w:tc>
              <w:tc>
                <w:tcPr>
                  <w:tcW w:w="613" w:type="dxa"/>
                  <w:noWrap w:val="0"/>
                  <w:vAlign w:val="center"/>
                </w:tcPr>
                <w:p w14:paraId="215C51EF">
                  <w:pPr>
                    <w:jc w:val="center"/>
                    <w:rPr>
                      <w:b w:val="0"/>
                      <w:bCs/>
                      <w:color w:val="auto"/>
                      <w:sz w:val="18"/>
                      <w:szCs w:val="18"/>
                      <w:highlight w:val="none"/>
                      <w:u w:val="single"/>
                    </w:rPr>
                  </w:pPr>
                  <w:r>
                    <w:rPr>
                      <w:b w:val="0"/>
                      <w:bCs/>
                      <w:color w:val="auto"/>
                      <w:sz w:val="18"/>
                      <w:szCs w:val="18"/>
                      <w:highlight w:val="none"/>
                      <w:u w:val="single"/>
                    </w:rPr>
                    <w:t>15</w:t>
                  </w:r>
                </w:p>
              </w:tc>
              <w:tc>
                <w:tcPr>
                  <w:tcW w:w="1167" w:type="dxa"/>
                  <w:noWrap w:val="0"/>
                  <w:vAlign w:val="center"/>
                </w:tcPr>
                <w:p w14:paraId="4476E73E">
                  <w:pPr>
                    <w:jc w:val="center"/>
                    <w:rPr>
                      <w:b w:val="0"/>
                      <w:bCs/>
                      <w:color w:val="auto"/>
                      <w:sz w:val="18"/>
                      <w:szCs w:val="18"/>
                      <w:highlight w:val="none"/>
                      <w:u w:val="single"/>
                    </w:rPr>
                  </w:pPr>
                  <w:r>
                    <w:rPr>
                      <w:b w:val="0"/>
                      <w:bCs/>
                      <w:color w:val="auto"/>
                      <w:sz w:val="18"/>
                      <w:szCs w:val="18"/>
                      <w:highlight w:val="none"/>
                      <w:u w:val="single"/>
                    </w:rPr>
                    <w:t>—</w:t>
                  </w:r>
                </w:p>
              </w:tc>
            </w:tr>
            <w:tr w14:paraId="0A1CE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 w:type="dxa"/>
                  <w:vMerge w:val="restart"/>
                  <w:noWrap w:val="0"/>
                  <w:vAlign w:val="center"/>
                </w:tcPr>
                <w:p w14:paraId="6C89A36C">
                  <w:pPr>
                    <w:jc w:val="center"/>
                    <w:rPr>
                      <w:rFonts w:hint="eastAsia"/>
                      <w:b w:val="0"/>
                      <w:bCs/>
                      <w:color w:val="auto"/>
                      <w:sz w:val="18"/>
                      <w:szCs w:val="18"/>
                      <w:highlight w:val="none"/>
                      <w:u w:val="single"/>
                      <w:lang w:val="en-US" w:eastAsia="zh-CN"/>
                    </w:rPr>
                  </w:pPr>
                  <w:r>
                    <w:rPr>
                      <w:rFonts w:hint="eastAsia"/>
                      <w:b w:val="0"/>
                      <w:bCs/>
                      <w:color w:val="auto"/>
                      <w:sz w:val="18"/>
                      <w:szCs w:val="18"/>
                      <w:highlight w:val="none"/>
                      <w:u w:val="single"/>
                      <w:lang w:val="en-US" w:eastAsia="zh-CN"/>
                    </w:rPr>
                    <w:t>烧 结</w:t>
                  </w:r>
                </w:p>
                <w:p w14:paraId="46B5C7A1">
                  <w:pPr>
                    <w:jc w:val="center"/>
                    <w:rPr>
                      <w:rFonts w:hint="default"/>
                      <w:b w:val="0"/>
                      <w:bCs/>
                      <w:color w:val="auto"/>
                      <w:sz w:val="18"/>
                      <w:szCs w:val="18"/>
                      <w:highlight w:val="none"/>
                      <w:u w:val="single"/>
                      <w:lang w:val="en-US" w:eastAsia="zh-CN"/>
                    </w:rPr>
                  </w:pPr>
                  <w:r>
                    <w:rPr>
                      <w:rFonts w:hint="eastAsia"/>
                      <w:b w:val="0"/>
                      <w:bCs/>
                      <w:color w:val="auto"/>
                      <w:sz w:val="18"/>
                      <w:szCs w:val="18"/>
                      <w:highlight w:val="none"/>
                      <w:u w:val="single"/>
                      <w:lang w:val="en-US" w:eastAsia="zh-CN"/>
                    </w:rPr>
                    <w:t>砌 块</w:t>
                  </w:r>
                </w:p>
              </w:tc>
              <w:tc>
                <w:tcPr>
                  <w:tcW w:w="1173" w:type="dxa"/>
                  <w:noWrap w:val="0"/>
                  <w:vAlign w:val="center"/>
                </w:tcPr>
                <w:p w14:paraId="639607CF">
                  <w:pPr>
                    <w:jc w:val="center"/>
                    <w:rPr>
                      <w:b w:val="0"/>
                      <w:bCs/>
                      <w:color w:val="auto"/>
                      <w:sz w:val="18"/>
                      <w:szCs w:val="18"/>
                      <w:highlight w:val="none"/>
                      <w:u w:val="single"/>
                    </w:rPr>
                  </w:pPr>
                  <w:r>
                    <w:rPr>
                      <w:b w:val="0"/>
                      <w:bCs/>
                      <w:color w:val="auto"/>
                      <w:sz w:val="18"/>
                      <w:szCs w:val="18"/>
                      <w:highlight w:val="none"/>
                      <w:u w:val="single"/>
                    </w:rPr>
                    <w:t>用于承重墙</w:t>
                  </w:r>
                </w:p>
                <w:p w14:paraId="128F34AE">
                  <w:pPr>
                    <w:jc w:val="center"/>
                    <w:rPr>
                      <w:b w:val="0"/>
                      <w:bCs/>
                      <w:color w:val="auto"/>
                      <w:kern w:val="2"/>
                      <w:sz w:val="18"/>
                      <w:szCs w:val="18"/>
                      <w:highlight w:val="none"/>
                      <w:u w:val="single"/>
                      <w:lang w:val="en-US" w:eastAsia="zh-CN" w:bidi="ar-SA"/>
                    </w:rPr>
                  </w:pPr>
                  <w:r>
                    <w:rPr>
                      <w:rFonts w:hint="eastAsia"/>
                      <w:b w:val="0"/>
                      <w:bCs/>
                      <w:color w:val="auto"/>
                      <w:sz w:val="18"/>
                      <w:szCs w:val="18"/>
                      <w:highlight w:val="none"/>
                      <w:u w:val="single"/>
                      <w:lang w:val="en-US" w:eastAsia="zh-CN"/>
                    </w:rPr>
                    <w:t>及自承重墙</w:t>
                  </w:r>
                </w:p>
              </w:tc>
              <w:tc>
                <w:tcPr>
                  <w:tcW w:w="572" w:type="dxa"/>
                  <w:noWrap w:val="0"/>
                  <w:vAlign w:val="center"/>
                </w:tcPr>
                <w:p w14:paraId="20FB3895">
                  <w:pPr>
                    <w:jc w:val="center"/>
                    <w:rPr>
                      <w:b w:val="0"/>
                      <w:bCs/>
                      <w:color w:val="auto"/>
                      <w:sz w:val="18"/>
                      <w:szCs w:val="18"/>
                      <w:highlight w:val="none"/>
                      <w:u w:val="single"/>
                    </w:rPr>
                  </w:pPr>
                  <w:r>
                    <w:rPr>
                      <w:b w:val="0"/>
                      <w:bCs/>
                      <w:color w:val="auto"/>
                      <w:sz w:val="18"/>
                      <w:szCs w:val="18"/>
                      <w:highlight w:val="none"/>
                      <w:u w:val="single"/>
                    </w:rPr>
                    <w:t>≤ 35</w:t>
                  </w:r>
                </w:p>
              </w:tc>
              <w:tc>
                <w:tcPr>
                  <w:tcW w:w="478" w:type="dxa"/>
                  <w:noWrap w:val="0"/>
                  <w:vAlign w:val="center"/>
                </w:tcPr>
                <w:p w14:paraId="5745FF1A">
                  <w:pPr>
                    <w:jc w:val="center"/>
                    <w:rPr>
                      <w:rFonts w:hint="default" w:eastAsia="宋体"/>
                      <w:b w:val="0"/>
                      <w:bCs/>
                      <w:color w:val="auto"/>
                      <w:sz w:val="18"/>
                      <w:szCs w:val="18"/>
                      <w:highlight w:val="none"/>
                      <w:u w:val="single"/>
                      <w:lang w:val="en-US" w:eastAsia="zh-CN"/>
                    </w:rPr>
                  </w:pPr>
                  <w:r>
                    <w:rPr>
                      <w:rFonts w:hint="eastAsia"/>
                      <w:b w:val="0"/>
                      <w:bCs/>
                      <w:color w:val="auto"/>
                      <w:sz w:val="18"/>
                      <w:szCs w:val="18"/>
                      <w:highlight w:val="none"/>
                      <w:u w:val="single"/>
                      <w:lang w:val="en-US" w:eastAsia="zh-CN"/>
                    </w:rPr>
                    <w:t>12</w:t>
                  </w:r>
                </w:p>
              </w:tc>
              <w:tc>
                <w:tcPr>
                  <w:tcW w:w="613" w:type="dxa"/>
                  <w:noWrap w:val="0"/>
                  <w:vAlign w:val="center"/>
                </w:tcPr>
                <w:p w14:paraId="103CE531">
                  <w:pPr>
                    <w:jc w:val="center"/>
                    <w:rPr>
                      <w:rFonts w:hint="eastAsia" w:eastAsia="宋体"/>
                      <w:b w:val="0"/>
                      <w:bCs/>
                      <w:color w:val="auto"/>
                      <w:sz w:val="18"/>
                      <w:szCs w:val="18"/>
                      <w:highlight w:val="none"/>
                      <w:u w:val="single"/>
                      <w:lang w:eastAsia="zh-CN"/>
                    </w:rPr>
                  </w:pPr>
                  <w:r>
                    <w:rPr>
                      <w:rFonts w:hint="eastAsia"/>
                      <w:b w:val="0"/>
                      <w:bCs/>
                      <w:color w:val="auto"/>
                      <w:sz w:val="18"/>
                      <w:szCs w:val="18"/>
                      <w:highlight w:val="none"/>
                      <w:u w:val="single"/>
                      <w:lang w:val="en-US" w:eastAsia="zh-CN"/>
                    </w:rPr>
                    <w:t>5</w:t>
                  </w:r>
                </w:p>
              </w:tc>
              <w:tc>
                <w:tcPr>
                  <w:tcW w:w="1167" w:type="dxa"/>
                  <w:noWrap w:val="0"/>
                  <w:vAlign w:val="center"/>
                </w:tcPr>
                <w:p w14:paraId="45554964">
                  <w:pPr>
                    <w:jc w:val="center"/>
                    <w:rPr>
                      <w:rFonts w:hint="eastAsia" w:eastAsia="宋体"/>
                      <w:b w:val="0"/>
                      <w:bCs/>
                      <w:color w:val="auto"/>
                      <w:sz w:val="18"/>
                      <w:szCs w:val="18"/>
                      <w:highlight w:val="none"/>
                      <w:u w:val="single"/>
                      <w:lang w:eastAsia="zh-CN"/>
                    </w:rPr>
                  </w:pPr>
                  <w:r>
                    <w:rPr>
                      <w:b w:val="0"/>
                      <w:bCs/>
                      <w:color w:val="auto"/>
                      <w:sz w:val="18"/>
                      <w:szCs w:val="18"/>
                      <w:highlight w:val="none"/>
                      <w:u w:val="single"/>
                    </w:rPr>
                    <w:t>孔的长度和宽度比应</w:t>
                  </w:r>
                  <w:r>
                    <w:rPr>
                      <w:rFonts w:hint="eastAsia"/>
                      <w:b w:val="0"/>
                      <w:bCs/>
                      <w:color w:val="auto"/>
                      <w:sz w:val="18"/>
                      <w:szCs w:val="18"/>
                      <w:highlight w:val="none"/>
                      <w:u w:val="single"/>
                      <w:lang w:val="en-US" w:eastAsia="zh-CN"/>
                    </w:rPr>
                    <w:t>大</w:t>
                  </w:r>
                  <w:r>
                    <w:rPr>
                      <w:b w:val="0"/>
                      <w:bCs/>
                      <w:color w:val="auto"/>
                      <w:sz w:val="18"/>
                      <w:szCs w:val="18"/>
                      <w:highlight w:val="none"/>
                      <w:u w:val="single"/>
                    </w:rPr>
                    <w:t>于</w:t>
                  </w:r>
                  <w:r>
                    <w:rPr>
                      <w:rFonts w:hint="eastAsia"/>
                      <w:b w:val="0"/>
                      <w:bCs/>
                      <w:color w:val="auto"/>
                      <w:sz w:val="18"/>
                      <w:szCs w:val="18"/>
                      <w:highlight w:val="none"/>
                      <w:u w:val="single"/>
                      <w:lang w:val="en-US" w:eastAsia="zh-CN"/>
                    </w:rPr>
                    <w:t>3</w:t>
                  </w:r>
                </w:p>
              </w:tc>
            </w:tr>
            <w:tr w14:paraId="57F1A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 w:type="dxa"/>
                  <w:vMerge w:val="continue"/>
                  <w:noWrap w:val="0"/>
                  <w:vAlign w:val="center"/>
                </w:tcPr>
                <w:p w14:paraId="4F952793">
                  <w:pPr>
                    <w:jc w:val="center"/>
                    <w:rPr>
                      <w:b w:val="0"/>
                      <w:bCs/>
                      <w:color w:val="auto"/>
                      <w:sz w:val="18"/>
                      <w:szCs w:val="18"/>
                      <w:highlight w:val="none"/>
                      <w:u w:val="single"/>
                    </w:rPr>
                  </w:pPr>
                </w:p>
              </w:tc>
              <w:tc>
                <w:tcPr>
                  <w:tcW w:w="1173" w:type="dxa"/>
                  <w:noWrap w:val="0"/>
                  <w:vAlign w:val="center"/>
                </w:tcPr>
                <w:p w14:paraId="526BEAA6">
                  <w:pPr>
                    <w:jc w:val="center"/>
                    <w:rPr>
                      <w:b w:val="0"/>
                      <w:bCs/>
                      <w:color w:val="auto"/>
                      <w:kern w:val="2"/>
                      <w:sz w:val="18"/>
                      <w:szCs w:val="18"/>
                      <w:highlight w:val="none"/>
                      <w:u w:val="single"/>
                      <w:lang w:val="en-US" w:eastAsia="zh-CN" w:bidi="ar-SA"/>
                    </w:rPr>
                  </w:pPr>
                  <w:r>
                    <w:rPr>
                      <w:b w:val="0"/>
                      <w:bCs/>
                      <w:color w:val="auto"/>
                      <w:sz w:val="18"/>
                      <w:szCs w:val="18"/>
                      <w:highlight w:val="none"/>
                      <w:u w:val="single"/>
                    </w:rPr>
                    <w:t>用于</w:t>
                  </w:r>
                  <w:r>
                    <w:rPr>
                      <w:rFonts w:hint="eastAsia"/>
                      <w:b w:val="0"/>
                      <w:bCs/>
                      <w:color w:val="auto"/>
                      <w:sz w:val="18"/>
                      <w:szCs w:val="18"/>
                      <w:highlight w:val="none"/>
                      <w:u w:val="single"/>
                      <w:lang w:val="en-US" w:eastAsia="zh-CN"/>
                    </w:rPr>
                    <w:t>填充</w:t>
                  </w:r>
                  <w:r>
                    <w:rPr>
                      <w:b w:val="0"/>
                      <w:bCs/>
                      <w:color w:val="auto"/>
                      <w:sz w:val="18"/>
                      <w:szCs w:val="18"/>
                      <w:highlight w:val="none"/>
                      <w:u w:val="single"/>
                    </w:rPr>
                    <w:t>墙</w:t>
                  </w:r>
                </w:p>
              </w:tc>
              <w:tc>
                <w:tcPr>
                  <w:tcW w:w="572" w:type="dxa"/>
                  <w:noWrap w:val="0"/>
                  <w:vAlign w:val="center"/>
                </w:tcPr>
                <w:p w14:paraId="215589B5">
                  <w:pPr>
                    <w:jc w:val="center"/>
                    <w:rPr>
                      <w:rFonts w:hint="default"/>
                      <w:b w:val="0"/>
                      <w:bCs/>
                      <w:color w:val="auto"/>
                      <w:sz w:val="18"/>
                      <w:szCs w:val="18"/>
                      <w:highlight w:val="none"/>
                      <w:u w:val="single"/>
                      <w:lang w:val="en-US"/>
                    </w:rPr>
                  </w:pPr>
                  <w:r>
                    <w:rPr>
                      <w:rFonts w:hint="default" w:ascii="Arial" w:hAnsi="Arial" w:cs="Arial"/>
                      <w:b w:val="0"/>
                      <w:bCs/>
                      <w:color w:val="auto"/>
                      <w:sz w:val="18"/>
                      <w:szCs w:val="18"/>
                      <w:highlight w:val="none"/>
                      <w:u w:val="single"/>
                    </w:rPr>
                    <w:t>≥</w:t>
                  </w:r>
                  <w:r>
                    <w:rPr>
                      <w:rFonts w:hint="eastAsia"/>
                      <w:b w:val="0"/>
                      <w:bCs/>
                      <w:color w:val="auto"/>
                      <w:sz w:val="18"/>
                      <w:szCs w:val="18"/>
                      <w:highlight w:val="none"/>
                      <w:u w:val="single"/>
                      <w:lang w:val="en-US" w:eastAsia="zh-CN"/>
                    </w:rPr>
                    <w:t>40</w:t>
                  </w:r>
                </w:p>
              </w:tc>
              <w:tc>
                <w:tcPr>
                  <w:tcW w:w="478" w:type="dxa"/>
                  <w:noWrap w:val="0"/>
                  <w:vAlign w:val="center"/>
                </w:tcPr>
                <w:p w14:paraId="7B09024F">
                  <w:pPr>
                    <w:jc w:val="center"/>
                    <w:rPr>
                      <w:b w:val="0"/>
                      <w:bCs/>
                      <w:color w:val="auto"/>
                      <w:sz w:val="18"/>
                      <w:szCs w:val="18"/>
                      <w:highlight w:val="none"/>
                      <w:u w:val="single"/>
                    </w:rPr>
                  </w:pPr>
                  <w:r>
                    <w:rPr>
                      <w:b w:val="0"/>
                      <w:bCs/>
                      <w:color w:val="auto"/>
                      <w:sz w:val="18"/>
                      <w:szCs w:val="18"/>
                      <w:highlight w:val="none"/>
                      <w:u w:val="single"/>
                    </w:rPr>
                    <w:t>—</w:t>
                  </w:r>
                </w:p>
              </w:tc>
              <w:tc>
                <w:tcPr>
                  <w:tcW w:w="613" w:type="dxa"/>
                  <w:noWrap w:val="0"/>
                  <w:vAlign w:val="center"/>
                </w:tcPr>
                <w:p w14:paraId="4323F692">
                  <w:pPr>
                    <w:jc w:val="center"/>
                    <w:rPr>
                      <w:b w:val="0"/>
                      <w:bCs/>
                      <w:color w:val="auto"/>
                      <w:sz w:val="18"/>
                      <w:szCs w:val="18"/>
                      <w:highlight w:val="none"/>
                      <w:u w:val="single"/>
                    </w:rPr>
                  </w:pPr>
                  <w:r>
                    <w:rPr>
                      <w:b w:val="0"/>
                      <w:bCs/>
                      <w:color w:val="auto"/>
                      <w:sz w:val="18"/>
                      <w:szCs w:val="18"/>
                      <w:highlight w:val="none"/>
                      <w:u w:val="single"/>
                    </w:rPr>
                    <w:t>—</w:t>
                  </w:r>
                </w:p>
              </w:tc>
              <w:tc>
                <w:tcPr>
                  <w:tcW w:w="1167" w:type="dxa"/>
                  <w:noWrap w:val="0"/>
                  <w:vAlign w:val="center"/>
                </w:tcPr>
                <w:p w14:paraId="14991DB9">
                  <w:pPr>
                    <w:jc w:val="center"/>
                    <w:rPr>
                      <w:b w:val="0"/>
                      <w:bCs/>
                      <w:color w:val="auto"/>
                      <w:sz w:val="18"/>
                      <w:szCs w:val="18"/>
                      <w:highlight w:val="none"/>
                      <w:u w:val="single"/>
                    </w:rPr>
                  </w:pPr>
                  <w:r>
                    <w:rPr>
                      <w:b w:val="0"/>
                      <w:bCs/>
                      <w:color w:val="auto"/>
                      <w:sz w:val="18"/>
                      <w:szCs w:val="18"/>
                      <w:highlight w:val="none"/>
                      <w:u w:val="single"/>
                    </w:rPr>
                    <w:t>—</w:t>
                  </w:r>
                </w:p>
              </w:tc>
            </w:tr>
            <w:tr w14:paraId="43F4D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 w:type="dxa"/>
                  <w:vMerge w:val="restart"/>
                  <w:noWrap w:val="0"/>
                  <w:vAlign w:val="center"/>
                </w:tcPr>
                <w:p w14:paraId="24F6FE67">
                  <w:pPr>
                    <w:jc w:val="center"/>
                    <w:rPr>
                      <w:rFonts w:hint="default" w:eastAsia="宋体"/>
                      <w:b w:val="0"/>
                      <w:bCs/>
                      <w:color w:val="auto"/>
                      <w:sz w:val="18"/>
                      <w:szCs w:val="18"/>
                      <w:highlight w:val="none"/>
                      <w:u w:val="single"/>
                      <w:lang w:val="en-US" w:eastAsia="zh-CN"/>
                    </w:rPr>
                  </w:pPr>
                  <w:r>
                    <w:rPr>
                      <w:rFonts w:hint="eastAsia"/>
                      <w:b w:val="0"/>
                      <w:bCs/>
                      <w:color w:val="auto"/>
                      <w:sz w:val="18"/>
                      <w:szCs w:val="18"/>
                      <w:highlight w:val="none"/>
                      <w:u w:val="single"/>
                      <w:lang w:val="en-US" w:eastAsia="zh-CN"/>
                    </w:rPr>
                    <w:t>配筋砌块</w:t>
                  </w:r>
                </w:p>
              </w:tc>
              <w:tc>
                <w:tcPr>
                  <w:tcW w:w="1173" w:type="dxa"/>
                  <w:noWrap w:val="0"/>
                  <w:vAlign w:val="center"/>
                </w:tcPr>
                <w:p w14:paraId="2941D0CD">
                  <w:pPr>
                    <w:jc w:val="center"/>
                    <w:rPr>
                      <w:b w:val="0"/>
                      <w:bCs/>
                      <w:color w:val="auto"/>
                      <w:sz w:val="18"/>
                      <w:szCs w:val="18"/>
                      <w:highlight w:val="none"/>
                      <w:u w:val="single"/>
                    </w:rPr>
                  </w:pPr>
                  <w:r>
                    <w:rPr>
                      <w:b w:val="0"/>
                      <w:bCs/>
                      <w:color w:val="auto"/>
                      <w:sz w:val="18"/>
                      <w:szCs w:val="18"/>
                      <w:highlight w:val="none"/>
                      <w:u w:val="single"/>
                    </w:rPr>
                    <w:t>用于承重墙</w:t>
                  </w:r>
                </w:p>
                <w:p w14:paraId="370A7839">
                  <w:pPr>
                    <w:jc w:val="center"/>
                    <w:rPr>
                      <w:b w:val="0"/>
                      <w:bCs/>
                      <w:color w:val="auto"/>
                      <w:kern w:val="2"/>
                      <w:sz w:val="18"/>
                      <w:szCs w:val="18"/>
                      <w:highlight w:val="none"/>
                      <w:u w:val="single"/>
                      <w:lang w:val="en-US" w:eastAsia="zh-CN" w:bidi="ar-SA"/>
                    </w:rPr>
                  </w:pPr>
                  <w:r>
                    <w:rPr>
                      <w:rFonts w:hint="eastAsia"/>
                      <w:b w:val="0"/>
                      <w:bCs/>
                      <w:color w:val="auto"/>
                      <w:sz w:val="18"/>
                      <w:szCs w:val="18"/>
                      <w:highlight w:val="none"/>
                      <w:u w:val="single"/>
                      <w:lang w:val="en-US" w:eastAsia="zh-CN"/>
                    </w:rPr>
                    <w:t>及自承重墙</w:t>
                  </w:r>
                </w:p>
              </w:tc>
              <w:tc>
                <w:tcPr>
                  <w:tcW w:w="572" w:type="dxa"/>
                  <w:noWrap w:val="0"/>
                  <w:vAlign w:val="center"/>
                </w:tcPr>
                <w:p w14:paraId="7D30FA06">
                  <w:pPr>
                    <w:jc w:val="center"/>
                    <w:rPr>
                      <w:rFonts w:hint="default" w:eastAsia="宋体"/>
                      <w:b w:val="0"/>
                      <w:bCs/>
                      <w:color w:val="auto"/>
                      <w:kern w:val="2"/>
                      <w:sz w:val="18"/>
                      <w:szCs w:val="18"/>
                      <w:highlight w:val="none"/>
                      <w:u w:val="single"/>
                      <w:lang w:val="en-US" w:eastAsia="zh-CN" w:bidi="ar-SA"/>
                    </w:rPr>
                  </w:pPr>
                  <w:r>
                    <w:rPr>
                      <w:rFonts w:hint="default" w:ascii="Arial" w:hAnsi="Arial" w:cs="Arial"/>
                      <w:b w:val="0"/>
                      <w:bCs/>
                      <w:color w:val="auto"/>
                      <w:sz w:val="18"/>
                      <w:szCs w:val="18"/>
                      <w:highlight w:val="none"/>
                      <w:u w:val="single"/>
                    </w:rPr>
                    <w:t>≥</w:t>
                  </w:r>
                  <w:r>
                    <w:rPr>
                      <w:rFonts w:hint="eastAsia"/>
                      <w:b w:val="0"/>
                      <w:bCs/>
                      <w:color w:val="auto"/>
                      <w:sz w:val="18"/>
                      <w:szCs w:val="18"/>
                      <w:highlight w:val="none"/>
                      <w:u w:val="single"/>
                      <w:lang w:val="en-US" w:eastAsia="zh-CN"/>
                    </w:rPr>
                    <w:t>45</w:t>
                  </w:r>
                </w:p>
              </w:tc>
              <w:tc>
                <w:tcPr>
                  <w:tcW w:w="478" w:type="dxa"/>
                  <w:noWrap w:val="0"/>
                  <w:vAlign w:val="center"/>
                </w:tcPr>
                <w:p w14:paraId="3D763133">
                  <w:pPr>
                    <w:jc w:val="center"/>
                    <w:rPr>
                      <w:rFonts w:hint="default" w:eastAsia="宋体"/>
                      <w:b w:val="0"/>
                      <w:bCs/>
                      <w:color w:val="auto"/>
                      <w:kern w:val="2"/>
                      <w:sz w:val="18"/>
                      <w:szCs w:val="18"/>
                      <w:highlight w:val="none"/>
                      <w:u w:val="single"/>
                      <w:lang w:val="en-US" w:eastAsia="zh-CN" w:bidi="ar-SA"/>
                    </w:rPr>
                  </w:pPr>
                  <w:r>
                    <w:rPr>
                      <w:rFonts w:hint="default" w:ascii="Arial" w:hAnsi="Arial" w:cs="Arial"/>
                      <w:b w:val="0"/>
                      <w:bCs/>
                      <w:color w:val="auto"/>
                      <w:sz w:val="18"/>
                      <w:szCs w:val="18"/>
                      <w:highlight w:val="none"/>
                      <w:u w:val="single"/>
                    </w:rPr>
                    <w:t>≥</w:t>
                  </w:r>
                  <w:r>
                    <w:rPr>
                      <w:rFonts w:hint="eastAsia"/>
                      <w:b w:val="0"/>
                      <w:bCs/>
                      <w:color w:val="auto"/>
                      <w:sz w:val="18"/>
                      <w:szCs w:val="18"/>
                      <w:highlight w:val="none"/>
                      <w:u w:val="single"/>
                      <w:lang w:val="en-US" w:eastAsia="zh-CN"/>
                    </w:rPr>
                    <w:t>27</w:t>
                  </w:r>
                </w:p>
              </w:tc>
              <w:tc>
                <w:tcPr>
                  <w:tcW w:w="613" w:type="dxa"/>
                  <w:noWrap w:val="0"/>
                  <w:vAlign w:val="center"/>
                </w:tcPr>
                <w:p w14:paraId="1B7E9F56">
                  <w:pPr>
                    <w:jc w:val="center"/>
                    <w:rPr>
                      <w:rFonts w:hint="default" w:eastAsia="宋体"/>
                      <w:b w:val="0"/>
                      <w:bCs/>
                      <w:color w:val="auto"/>
                      <w:kern w:val="2"/>
                      <w:sz w:val="18"/>
                      <w:szCs w:val="18"/>
                      <w:highlight w:val="none"/>
                      <w:u w:val="single"/>
                      <w:lang w:val="en-US" w:eastAsia="zh-CN" w:bidi="ar-SA"/>
                    </w:rPr>
                  </w:pPr>
                  <w:r>
                    <w:rPr>
                      <w:rFonts w:hint="default" w:ascii="Arial" w:hAnsi="Arial" w:cs="Arial"/>
                      <w:b w:val="0"/>
                      <w:bCs/>
                      <w:color w:val="auto"/>
                      <w:sz w:val="18"/>
                      <w:szCs w:val="18"/>
                      <w:highlight w:val="none"/>
                      <w:u w:val="single"/>
                    </w:rPr>
                    <w:t>≥</w:t>
                  </w:r>
                  <w:r>
                    <w:rPr>
                      <w:rFonts w:hint="eastAsia"/>
                      <w:b w:val="0"/>
                      <w:bCs/>
                      <w:color w:val="auto"/>
                      <w:sz w:val="18"/>
                      <w:szCs w:val="18"/>
                      <w:highlight w:val="none"/>
                      <w:u w:val="single"/>
                      <w:lang w:val="en-US" w:eastAsia="zh-CN"/>
                    </w:rPr>
                    <w:t>25</w:t>
                  </w:r>
                </w:p>
              </w:tc>
              <w:tc>
                <w:tcPr>
                  <w:tcW w:w="1167" w:type="dxa"/>
                  <w:noWrap w:val="0"/>
                  <w:vAlign w:val="center"/>
                </w:tcPr>
                <w:p w14:paraId="60D7CDCD">
                  <w:pPr>
                    <w:jc w:val="center"/>
                    <w:rPr>
                      <w:b w:val="0"/>
                      <w:bCs/>
                      <w:color w:val="auto"/>
                      <w:kern w:val="2"/>
                      <w:sz w:val="18"/>
                      <w:szCs w:val="18"/>
                      <w:highlight w:val="none"/>
                      <w:u w:val="single"/>
                      <w:lang w:val="en-US" w:eastAsia="zh-CN" w:bidi="ar-SA"/>
                    </w:rPr>
                  </w:pPr>
                  <w:r>
                    <w:rPr>
                      <w:rFonts w:hint="eastAsia" w:ascii="Times New Roman" w:hAnsi="Times New Roman" w:eastAsia="宋体" w:cs="Times New Roman"/>
                      <w:b w:val="0"/>
                      <w:bCs/>
                      <w:color w:val="auto"/>
                      <w:sz w:val="18"/>
                      <w:szCs w:val="18"/>
                      <w:highlight w:val="none"/>
                      <w:u w:val="single"/>
                      <w:lang w:val="en-US" w:eastAsia="zh-CN"/>
                    </w:rPr>
                    <w:t>孔的圆角半径</w:t>
                  </w:r>
                  <w:r>
                    <w:rPr>
                      <w:rFonts w:hint="default" w:ascii="Times New Roman" w:hAnsi="Times New Roman" w:eastAsia="宋体" w:cs="Times New Roman"/>
                      <w:b w:val="0"/>
                      <w:bCs/>
                      <w:color w:val="auto"/>
                      <w:sz w:val="18"/>
                      <w:szCs w:val="18"/>
                      <w:highlight w:val="none"/>
                      <w:u w:val="single"/>
                      <w:lang w:val="en-US" w:eastAsia="zh-CN"/>
                    </w:rPr>
                    <w:t>≥</w:t>
                  </w:r>
                  <w:r>
                    <w:rPr>
                      <w:rFonts w:hint="eastAsia" w:ascii="Times New Roman" w:hAnsi="Times New Roman" w:eastAsia="宋体" w:cs="Times New Roman"/>
                      <w:b w:val="0"/>
                      <w:bCs/>
                      <w:color w:val="auto"/>
                      <w:sz w:val="18"/>
                      <w:szCs w:val="18"/>
                      <w:highlight w:val="none"/>
                      <w:u w:val="single"/>
                      <w:lang w:val="en-US" w:eastAsia="zh-CN"/>
                    </w:rPr>
                    <w:t>20 m</w:t>
                  </w:r>
                  <w:r>
                    <w:rPr>
                      <w:b w:val="0"/>
                      <w:bCs/>
                      <w:color w:val="auto"/>
                      <w:sz w:val="18"/>
                      <w:szCs w:val="18"/>
                      <w:highlight w:val="none"/>
                      <w:u w:val="single"/>
                    </w:rPr>
                    <w:t>m</w:t>
                  </w:r>
                </w:p>
              </w:tc>
            </w:tr>
            <w:tr w14:paraId="10230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 w:type="dxa"/>
                  <w:vMerge w:val="continue"/>
                  <w:noWrap w:val="0"/>
                  <w:vAlign w:val="center"/>
                </w:tcPr>
                <w:p w14:paraId="0D13DFD7">
                  <w:pPr>
                    <w:jc w:val="center"/>
                    <w:rPr>
                      <w:b w:val="0"/>
                      <w:bCs/>
                      <w:color w:val="auto"/>
                      <w:sz w:val="18"/>
                      <w:szCs w:val="18"/>
                      <w:highlight w:val="none"/>
                      <w:u w:val="single"/>
                    </w:rPr>
                  </w:pPr>
                </w:p>
              </w:tc>
              <w:tc>
                <w:tcPr>
                  <w:tcW w:w="1173" w:type="dxa"/>
                  <w:noWrap w:val="0"/>
                  <w:vAlign w:val="center"/>
                </w:tcPr>
                <w:p w14:paraId="2361415A">
                  <w:pPr>
                    <w:jc w:val="center"/>
                    <w:rPr>
                      <w:b w:val="0"/>
                      <w:bCs/>
                      <w:color w:val="auto"/>
                      <w:kern w:val="2"/>
                      <w:sz w:val="18"/>
                      <w:szCs w:val="18"/>
                      <w:highlight w:val="none"/>
                      <w:u w:val="single"/>
                      <w:lang w:val="en-US" w:eastAsia="zh-CN" w:bidi="ar-SA"/>
                    </w:rPr>
                  </w:pPr>
                  <w:r>
                    <w:rPr>
                      <w:b w:val="0"/>
                      <w:bCs/>
                      <w:color w:val="auto"/>
                      <w:sz w:val="18"/>
                      <w:szCs w:val="18"/>
                      <w:highlight w:val="none"/>
                      <w:u w:val="single"/>
                    </w:rPr>
                    <w:t>用于</w:t>
                  </w:r>
                  <w:r>
                    <w:rPr>
                      <w:rFonts w:hint="eastAsia"/>
                      <w:b w:val="0"/>
                      <w:bCs/>
                      <w:color w:val="auto"/>
                      <w:sz w:val="18"/>
                      <w:szCs w:val="18"/>
                      <w:highlight w:val="none"/>
                      <w:u w:val="single"/>
                      <w:lang w:val="en-US" w:eastAsia="zh-CN"/>
                    </w:rPr>
                    <w:t>填充</w:t>
                  </w:r>
                  <w:r>
                    <w:rPr>
                      <w:b w:val="0"/>
                      <w:bCs/>
                      <w:color w:val="auto"/>
                      <w:sz w:val="18"/>
                      <w:szCs w:val="18"/>
                      <w:highlight w:val="none"/>
                      <w:u w:val="single"/>
                    </w:rPr>
                    <w:t>墙</w:t>
                  </w:r>
                </w:p>
              </w:tc>
              <w:tc>
                <w:tcPr>
                  <w:tcW w:w="572" w:type="dxa"/>
                  <w:noWrap w:val="0"/>
                  <w:vAlign w:val="center"/>
                </w:tcPr>
                <w:p w14:paraId="4C24C2C4">
                  <w:pPr>
                    <w:jc w:val="center"/>
                    <w:rPr>
                      <w:rFonts w:hint="default" w:eastAsia="宋体"/>
                      <w:b w:val="0"/>
                      <w:bCs/>
                      <w:color w:val="auto"/>
                      <w:kern w:val="2"/>
                      <w:sz w:val="18"/>
                      <w:szCs w:val="18"/>
                      <w:highlight w:val="none"/>
                      <w:u w:val="single"/>
                      <w:lang w:val="en-US" w:eastAsia="zh-CN" w:bidi="ar-SA"/>
                    </w:rPr>
                  </w:pPr>
                  <w:r>
                    <w:rPr>
                      <w:rFonts w:hint="default" w:ascii="Arial" w:hAnsi="Arial" w:cs="Arial"/>
                      <w:b w:val="0"/>
                      <w:bCs/>
                      <w:color w:val="auto"/>
                      <w:sz w:val="18"/>
                      <w:szCs w:val="18"/>
                      <w:highlight w:val="none"/>
                      <w:u w:val="single"/>
                    </w:rPr>
                    <w:t>≥</w:t>
                  </w:r>
                  <w:r>
                    <w:rPr>
                      <w:rFonts w:hint="eastAsia"/>
                      <w:b w:val="0"/>
                      <w:bCs/>
                      <w:color w:val="auto"/>
                      <w:sz w:val="18"/>
                      <w:szCs w:val="18"/>
                      <w:highlight w:val="none"/>
                      <w:u w:val="single"/>
                      <w:lang w:val="en-US" w:eastAsia="zh-CN"/>
                    </w:rPr>
                    <w:t>25</w:t>
                  </w:r>
                </w:p>
              </w:tc>
              <w:tc>
                <w:tcPr>
                  <w:tcW w:w="478" w:type="dxa"/>
                  <w:noWrap w:val="0"/>
                  <w:vAlign w:val="center"/>
                </w:tcPr>
                <w:p w14:paraId="5CA23D7C">
                  <w:pPr>
                    <w:jc w:val="center"/>
                    <w:rPr>
                      <w:rFonts w:hint="default" w:eastAsia="宋体"/>
                      <w:b w:val="0"/>
                      <w:bCs/>
                      <w:color w:val="auto"/>
                      <w:kern w:val="2"/>
                      <w:sz w:val="18"/>
                      <w:szCs w:val="18"/>
                      <w:highlight w:val="none"/>
                      <w:u w:val="single"/>
                      <w:lang w:val="en-US" w:eastAsia="zh-CN" w:bidi="ar-SA"/>
                    </w:rPr>
                  </w:pPr>
                  <w:r>
                    <w:rPr>
                      <w:rFonts w:hint="default" w:ascii="Arial" w:hAnsi="Arial" w:cs="Arial"/>
                      <w:b w:val="0"/>
                      <w:bCs/>
                      <w:color w:val="auto"/>
                      <w:sz w:val="18"/>
                      <w:szCs w:val="18"/>
                      <w:highlight w:val="none"/>
                      <w:u w:val="single"/>
                    </w:rPr>
                    <w:t>≥</w:t>
                  </w:r>
                  <w:r>
                    <w:rPr>
                      <w:rFonts w:hint="eastAsia"/>
                      <w:b w:val="0"/>
                      <w:bCs/>
                      <w:color w:val="auto"/>
                      <w:sz w:val="18"/>
                      <w:szCs w:val="18"/>
                      <w:highlight w:val="none"/>
                      <w:u w:val="single"/>
                      <w:lang w:val="en-US" w:eastAsia="zh-CN"/>
                    </w:rPr>
                    <w:t>20</w:t>
                  </w:r>
                </w:p>
              </w:tc>
              <w:tc>
                <w:tcPr>
                  <w:tcW w:w="613" w:type="dxa"/>
                  <w:noWrap w:val="0"/>
                  <w:vAlign w:val="center"/>
                </w:tcPr>
                <w:p w14:paraId="17957705">
                  <w:pPr>
                    <w:jc w:val="center"/>
                    <w:rPr>
                      <w:rFonts w:hint="default" w:eastAsia="宋体"/>
                      <w:b w:val="0"/>
                      <w:bCs/>
                      <w:color w:val="auto"/>
                      <w:kern w:val="2"/>
                      <w:sz w:val="18"/>
                      <w:szCs w:val="18"/>
                      <w:highlight w:val="none"/>
                      <w:u w:val="single"/>
                      <w:lang w:val="en-US" w:eastAsia="zh-CN" w:bidi="ar-SA"/>
                    </w:rPr>
                  </w:pPr>
                  <w:r>
                    <w:rPr>
                      <w:rFonts w:hint="default" w:ascii="Arial" w:hAnsi="Arial" w:cs="Arial"/>
                      <w:b w:val="0"/>
                      <w:bCs/>
                      <w:color w:val="auto"/>
                      <w:sz w:val="18"/>
                      <w:szCs w:val="18"/>
                      <w:highlight w:val="none"/>
                      <w:u w:val="single"/>
                    </w:rPr>
                    <w:t>≥</w:t>
                  </w:r>
                  <w:r>
                    <w:rPr>
                      <w:rFonts w:hint="eastAsia"/>
                      <w:b w:val="0"/>
                      <w:bCs/>
                      <w:color w:val="auto"/>
                      <w:sz w:val="18"/>
                      <w:szCs w:val="18"/>
                      <w:highlight w:val="none"/>
                      <w:u w:val="single"/>
                      <w:lang w:val="en-US" w:eastAsia="zh-CN"/>
                    </w:rPr>
                    <w:t>20</w:t>
                  </w:r>
                </w:p>
              </w:tc>
              <w:tc>
                <w:tcPr>
                  <w:tcW w:w="1167" w:type="dxa"/>
                  <w:noWrap w:val="0"/>
                  <w:vAlign w:val="center"/>
                </w:tcPr>
                <w:p w14:paraId="61809175">
                  <w:pPr>
                    <w:jc w:val="center"/>
                    <w:rPr>
                      <w:b w:val="0"/>
                      <w:bCs/>
                      <w:color w:val="auto"/>
                      <w:kern w:val="2"/>
                      <w:sz w:val="18"/>
                      <w:szCs w:val="18"/>
                      <w:highlight w:val="none"/>
                      <w:u w:val="single"/>
                      <w:lang w:val="en-US" w:eastAsia="zh-CN" w:bidi="ar-SA"/>
                    </w:rPr>
                  </w:pPr>
                  <w:r>
                    <w:rPr>
                      <w:rFonts w:hint="eastAsia" w:ascii="Times New Roman" w:hAnsi="Times New Roman" w:eastAsia="宋体" w:cs="Times New Roman"/>
                      <w:b w:val="0"/>
                      <w:bCs/>
                      <w:color w:val="auto"/>
                      <w:sz w:val="18"/>
                      <w:szCs w:val="18"/>
                      <w:highlight w:val="none"/>
                      <w:u w:val="single"/>
                      <w:lang w:val="en-US" w:eastAsia="zh-CN"/>
                    </w:rPr>
                    <w:t>孔的圆角半径</w:t>
                  </w:r>
                  <w:r>
                    <w:rPr>
                      <w:rFonts w:hint="default" w:ascii="Times New Roman" w:hAnsi="Times New Roman" w:eastAsia="宋体" w:cs="Times New Roman"/>
                      <w:b w:val="0"/>
                      <w:bCs/>
                      <w:color w:val="auto"/>
                      <w:sz w:val="18"/>
                      <w:szCs w:val="18"/>
                      <w:highlight w:val="none"/>
                      <w:u w:val="single"/>
                      <w:lang w:val="en-US" w:eastAsia="zh-CN"/>
                    </w:rPr>
                    <w:t>≥</w:t>
                  </w:r>
                  <w:r>
                    <w:rPr>
                      <w:rFonts w:hint="eastAsia" w:ascii="Times New Roman" w:hAnsi="Times New Roman" w:eastAsia="宋体" w:cs="Times New Roman"/>
                      <w:b w:val="0"/>
                      <w:bCs/>
                      <w:color w:val="auto"/>
                      <w:sz w:val="18"/>
                      <w:szCs w:val="18"/>
                      <w:highlight w:val="none"/>
                      <w:u w:val="single"/>
                      <w:lang w:val="en-US" w:eastAsia="zh-CN"/>
                    </w:rPr>
                    <w:t>20 mm</w:t>
                  </w:r>
                </w:p>
              </w:tc>
            </w:tr>
          </w:tbl>
          <w:p w14:paraId="061AE130">
            <w:pPr>
              <w:ind w:left="827" w:leftChars="226" w:hanging="352" w:hangingChars="196"/>
              <w:rPr>
                <w:rFonts w:hint="eastAsia" w:ascii="宋体" w:hAnsi="宋体" w:eastAsia="宋体" w:cs="宋体"/>
                <w:b w:val="0"/>
                <w:bCs/>
                <w:color w:val="auto"/>
                <w:sz w:val="18"/>
                <w:szCs w:val="18"/>
                <w:highlight w:val="none"/>
                <w:u w:val="single"/>
                <w:lang w:eastAsia="zh-CN"/>
              </w:rPr>
            </w:pPr>
            <w:r>
              <w:rPr>
                <w:rFonts w:hint="eastAsia" w:ascii="宋体" w:hAnsi="宋体" w:eastAsia="宋体" w:cs="宋体"/>
                <w:b w:val="0"/>
                <w:bCs/>
                <w:color w:val="auto"/>
                <w:sz w:val="18"/>
                <w:szCs w:val="18"/>
                <w:highlight w:val="none"/>
                <w:u w:val="single"/>
              </w:rPr>
              <w:t>注： 1  承重墙体的混凝土多孔砖的孔洞应垂直于铺浆面。当孔的长度与宽度比不小于2时，外壁的厚度不应小于18mm；当孔的长度与宽度比小于2时，壁的厚度不应小于15mm</w:t>
            </w:r>
            <w:r>
              <w:rPr>
                <w:rFonts w:hint="eastAsia" w:ascii="宋体" w:hAnsi="宋体" w:eastAsia="宋体" w:cs="宋体"/>
                <w:b w:val="0"/>
                <w:bCs/>
                <w:color w:val="auto"/>
                <w:sz w:val="18"/>
                <w:szCs w:val="18"/>
                <w:highlight w:val="none"/>
                <w:u w:val="single"/>
                <w:lang w:eastAsia="zh-CN"/>
              </w:rPr>
              <w:t>。</w:t>
            </w:r>
          </w:p>
          <w:p w14:paraId="7D383E40">
            <w:pPr>
              <w:ind w:left="894" w:leftChars="425" w:hanging="1" w:hangingChars="1"/>
              <w:rPr>
                <w:rFonts w:ascii="Times New Roman" w:hAnsi="Times New Roman"/>
                <w:b w:val="0"/>
                <w:bCs/>
                <w:szCs w:val="21"/>
              </w:rPr>
            </w:pPr>
            <w:r>
              <w:rPr>
                <w:rFonts w:hint="eastAsia" w:ascii="宋体" w:hAnsi="宋体" w:eastAsia="宋体" w:cs="宋体"/>
                <w:b w:val="0"/>
                <w:bCs/>
                <w:color w:val="auto"/>
                <w:sz w:val="18"/>
                <w:szCs w:val="18"/>
                <w:highlight w:val="none"/>
                <w:u w:val="single"/>
              </w:rPr>
              <w:t>2   承重含孔块材，</w:t>
            </w:r>
            <w:r>
              <w:rPr>
                <w:rFonts w:hint="eastAsia" w:ascii="宋体" w:hAnsi="宋体" w:eastAsia="宋体" w:cs="宋体"/>
                <w:b w:val="0"/>
                <w:bCs/>
                <w:color w:val="auto"/>
                <w:sz w:val="18"/>
                <w:szCs w:val="18"/>
                <w:highlight w:val="none"/>
                <w:u w:val="single"/>
                <w:lang w:val="en-US" w:eastAsia="zh-CN"/>
              </w:rPr>
              <w:t>其</w:t>
            </w:r>
            <w:r>
              <w:rPr>
                <w:rFonts w:hint="eastAsia" w:ascii="宋体" w:hAnsi="宋体" w:eastAsia="宋体" w:cs="宋体"/>
                <w:b w:val="0"/>
                <w:bCs/>
                <w:color w:val="auto"/>
                <w:sz w:val="18"/>
                <w:szCs w:val="18"/>
                <w:highlight w:val="none"/>
                <w:u w:val="single"/>
              </w:rPr>
              <w:t>长度方向</w:t>
            </w:r>
            <w:r>
              <w:rPr>
                <w:rFonts w:hint="eastAsia" w:ascii="宋体" w:hAnsi="宋体" w:eastAsia="宋体" w:cs="宋体"/>
                <w:b w:val="0"/>
                <w:bCs/>
                <w:color w:val="auto"/>
                <w:sz w:val="18"/>
                <w:szCs w:val="18"/>
                <w:highlight w:val="none"/>
                <w:u w:val="single"/>
                <w:lang w:val="en-US" w:eastAsia="zh-CN"/>
              </w:rPr>
              <w:t>的</w:t>
            </w:r>
            <w:r>
              <w:rPr>
                <w:rFonts w:hint="eastAsia" w:ascii="宋体" w:hAnsi="宋体" w:eastAsia="宋体" w:cs="宋体"/>
                <w:b w:val="0"/>
                <w:bCs/>
                <w:color w:val="auto"/>
                <w:sz w:val="18"/>
                <w:szCs w:val="18"/>
                <w:highlight w:val="none"/>
                <w:u w:val="single"/>
              </w:rPr>
              <w:t>中部不得设孔，中肋厚度不应小于20mm。</w:t>
            </w:r>
          </w:p>
        </w:tc>
      </w:tr>
      <w:tr w14:paraId="75174A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74" w:hRule="atLeast"/>
        </w:trPr>
        <w:tc>
          <w:tcPr>
            <w:tcW w:w="4686" w:type="dxa"/>
            <w:vAlign w:val="center"/>
          </w:tcPr>
          <w:p w14:paraId="4C50D1AA">
            <w:pPr>
              <w:rPr>
                <w:rFonts w:ascii="Times New Roman" w:hAnsi="Times New Roman"/>
                <w:b/>
                <w:bCs/>
                <w:szCs w:val="21"/>
              </w:rPr>
            </w:pPr>
            <w:r>
              <w:rPr>
                <w:b/>
                <w:bCs w:val="0"/>
                <w:color w:val="auto"/>
                <w:highlight w:val="none"/>
              </w:rPr>
              <w:t xml:space="preserve">6  </w:t>
            </w:r>
            <w:r>
              <w:rPr>
                <w:rFonts w:hint="eastAsia" w:ascii="黑体" w:hAnsi="黑体" w:eastAsia="黑体" w:cs="黑体"/>
                <w:b/>
                <w:bCs w:val="0"/>
                <w:color w:val="auto"/>
                <w:highlight w:val="none"/>
              </w:rPr>
              <w:t>蒸压加气混凝土砌块不应有未切割面，其切割面不应有切割附着屑；</w:t>
            </w:r>
          </w:p>
        </w:tc>
        <w:tc>
          <w:tcPr>
            <w:tcW w:w="4716" w:type="dxa"/>
            <w:vAlign w:val="center"/>
          </w:tcPr>
          <w:p w14:paraId="2E49E21D">
            <w:pPr>
              <w:keepNext w:val="0"/>
              <w:keepLines w:val="0"/>
              <w:pageBreakBefore w:val="0"/>
              <w:widowControl w:val="0"/>
              <w:kinsoku/>
              <w:wordWrap/>
              <w:overflowPunct/>
              <w:topLinePunct w:val="0"/>
              <w:autoSpaceDE/>
              <w:autoSpaceDN/>
              <w:bidi w:val="0"/>
              <w:adjustRightInd/>
              <w:snapToGrid w:val="0"/>
              <w:spacing w:line="360" w:lineRule="auto"/>
              <w:textAlignment w:val="auto"/>
              <w:rPr>
                <w:b/>
                <w:bCs w:val="0"/>
                <w:color w:val="auto"/>
                <w:highlight w:val="none"/>
                <w:bdr w:val="single" w:color="000000" w:sz="0" w:space="0"/>
              </w:rPr>
            </w:pPr>
            <w:r>
              <w:rPr>
                <w:b/>
                <w:bCs w:val="0"/>
                <w:color w:val="auto"/>
                <w:highlight w:val="none"/>
                <w:bdr w:val="single" w:color="000000" w:sz="0" w:space="0"/>
              </w:rPr>
              <w:t xml:space="preserve">6  </w:t>
            </w:r>
            <w:r>
              <w:rPr>
                <w:rFonts w:hint="eastAsia" w:ascii="黑体" w:hAnsi="黑体" w:eastAsia="黑体" w:cs="黑体"/>
                <w:b/>
                <w:bCs w:val="0"/>
                <w:color w:val="auto"/>
                <w:highlight w:val="none"/>
                <w:bdr w:val="single" w:color="000000" w:sz="0" w:space="0"/>
              </w:rPr>
              <w:t>蒸压加气混凝土砌块不应有未切割面，其切割面不应有切割附着屑；</w:t>
            </w:r>
          </w:p>
          <w:p w14:paraId="04B083FA">
            <w:pPr>
              <w:keepNext w:val="0"/>
              <w:keepLines w:val="0"/>
              <w:pageBreakBefore w:val="0"/>
              <w:widowControl w:val="0"/>
              <w:kinsoku/>
              <w:wordWrap/>
              <w:overflowPunct/>
              <w:topLinePunct w:val="0"/>
              <w:autoSpaceDE/>
              <w:autoSpaceDN/>
              <w:bidi w:val="0"/>
              <w:adjustRightInd/>
              <w:snapToGrid w:val="0"/>
              <w:spacing w:line="360" w:lineRule="auto"/>
              <w:textAlignment w:val="auto"/>
              <w:rPr>
                <w:b/>
                <w:bCs w:val="0"/>
                <w:color w:val="auto"/>
                <w:highlight w:val="none"/>
                <w:bdr w:val="single" w:color="000000" w:sz="0" w:space="0"/>
              </w:rPr>
            </w:pPr>
            <w:r>
              <w:rPr>
                <w:b/>
                <w:color w:val="auto"/>
                <w:highlight w:val="none"/>
                <w:u w:val="single"/>
              </w:rPr>
              <w:t>6</w:t>
            </w:r>
            <w:r>
              <w:rPr>
                <w:rFonts w:hint="eastAsia"/>
                <w:b/>
                <w:color w:val="auto"/>
                <w:highlight w:val="none"/>
                <w:u w:val="single"/>
                <w:lang w:val="en-US" w:eastAsia="zh-CN"/>
              </w:rPr>
              <w:t>A</w:t>
            </w:r>
            <w:r>
              <w:rPr>
                <w:b/>
                <w:color w:val="auto"/>
                <w:highlight w:val="none"/>
              </w:rPr>
              <w:t xml:space="preserve"> </w:t>
            </w:r>
            <w:r>
              <w:rPr>
                <w:color w:val="auto"/>
                <w:highlight w:val="none"/>
                <w:u w:val="single"/>
              </w:rPr>
              <w:t>蒸压加气混凝土砌块不应有未切割面，其切割面不应有切割附着屑；</w:t>
            </w:r>
          </w:p>
        </w:tc>
      </w:tr>
      <w:tr w14:paraId="58F9BC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30" w:hRule="atLeast"/>
        </w:trPr>
        <w:tc>
          <w:tcPr>
            <w:tcW w:w="4686" w:type="dxa"/>
            <w:vAlign w:val="center"/>
          </w:tcPr>
          <w:p w14:paraId="5719FD57">
            <w:pPr>
              <w:outlineLvl w:val="9"/>
              <w:rPr>
                <w:color w:val="auto"/>
                <w:highlight w:val="none"/>
              </w:rPr>
            </w:pPr>
            <w:bookmarkStart w:id="8" w:name="_Toc28435"/>
            <w:r>
              <w:rPr>
                <w:b/>
                <w:bCs w:val="0"/>
                <w:color w:val="auto"/>
                <w:highlight w:val="none"/>
              </w:rPr>
              <w:t xml:space="preserve">3.2.2  </w:t>
            </w:r>
            <w:r>
              <w:rPr>
                <w:rFonts w:hint="eastAsia" w:ascii="黑体" w:hAnsi="黑体" w:eastAsia="黑体" w:cs="黑体"/>
                <w:b/>
                <w:bCs w:val="0"/>
                <w:color w:val="auto"/>
                <w:highlight w:val="none"/>
              </w:rPr>
              <w:t>块体</w:t>
            </w:r>
            <w:r>
              <w:rPr>
                <w:rFonts w:hint="eastAsia" w:ascii="黑体" w:hAnsi="黑体" w:eastAsia="黑体" w:cs="黑体"/>
                <w:b/>
                <w:bCs w:val="0"/>
                <w:color w:val="auto"/>
                <w:highlight w:val="none"/>
                <w:lang w:val="en-US" w:eastAsia="zh-CN"/>
              </w:rPr>
              <w:t>材料</w:t>
            </w:r>
            <w:r>
              <w:rPr>
                <w:rFonts w:hint="eastAsia" w:ascii="黑体" w:hAnsi="黑体" w:eastAsia="黑体" w:cs="黑体"/>
                <w:b/>
                <w:bCs w:val="0"/>
                <w:color w:val="auto"/>
                <w:highlight w:val="none"/>
              </w:rPr>
              <w:t>强度等级应符合下列规定：</w:t>
            </w:r>
            <w:bookmarkEnd w:id="8"/>
          </w:p>
          <w:p w14:paraId="3C050602">
            <w:pPr>
              <w:ind w:firstLine="422" w:firstLineChars="200"/>
              <w:rPr>
                <w:color w:val="auto"/>
                <w:highlight w:val="none"/>
              </w:rPr>
            </w:pPr>
            <w:r>
              <w:rPr>
                <w:b/>
                <w:bCs w:val="0"/>
                <w:color w:val="auto"/>
                <w:highlight w:val="none"/>
              </w:rPr>
              <w:t xml:space="preserve">1  </w:t>
            </w:r>
            <w:r>
              <w:rPr>
                <w:rFonts w:hint="eastAsia" w:ascii="黑体" w:hAnsi="黑体" w:eastAsia="黑体" w:cs="黑体"/>
                <w:b/>
                <w:bCs w:val="0"/>
                <w:color w:val="auto"/>
                <w:highlight w:val="none"/>
              </w:rPr>
              <w:t>产品标准除应给出抗压强度等级外，尚应给出其变异系数</w:t>
            </w:r>
            <w:r>
              <w:rPr>
                <w:rFonts w:hint="eastAsia" w:ascii="黑体" w:hAnsi="黑体" w:eastAsia="黑体" w:cs="黑体"/>
                <w:b/>
                <w:bCs w:val="0"/>
                <w:color w:val="auto"/>
                <w:highlight w:val="none"/>
                <w:lang w:val="en-US" w:eastAsia="zh-CN"/>
              </w:rPr>
              <w:t>的限值</w:t>
            </w:r>
            <w:r>
              <w:rPr>
                <w:rFonts w:hint="eastAsia" w:ascii="黑体" w:hAnsi="黑体" w:eastAsia="黑体" w:cs="黑体"/>
                <w:b/>
                <w:color w:val="auto"/>
                <w:highlight w:val="none"/>
              </w:rPr>
              <w:t>；</w:t>
            </w:r>
          </w:p>
          <w:p w14:paraId="44346EDA">
            <w:pPr>
              <w:ind w:firstLine="417" w:firstLineChars="198"/>
              <w:outlineLvl w:val="9"/>
              <w:rPr>
                <w:b/>
                <w:bCs w:val="0"/>
                <w:color w:val="auto"/>
                <w:highlight w:val="none"/>
              </w:rPr>
            </w:pPr>
            <w:bookmarkStart w:id="9" w:name="_Toc10940"/>
            <w:r>
              <w:rPr>
                <w:b/>
                <w:bCs w:val="0"/>
                <w:color w:val="auto"/>
                <w:highlight w:val="none"/>
              </w:rPr>
              <w:t xml:space="preserve">2  </w:t>
            </w:r>
            <w:r>
              <w:rPr>
                <w:rFonts w:hint="eastAsia" w:ascii="黑体" w:hAnsi="黑体" w:eastAsia="黑体" w:cs="黑体"/>
                <w:b/>
                <w:bCs w:val="0"/>
                <w:color w:val="auto"/>
                <w:highlight w:val="none"/>
              </w:rPr>
              <w:t>承重砖的折压比不应小于表3.2.2-1的要求；</w:t>
            </w:r>
            <w:bookmarkEnd w:id="9"/>
          </w:p>
          <w:p w14:paraId="1C8FCD3F">
            <w:pPr>
              <w:rPr>
                <w:b/>
                <w:bCs w:val="0"/>
                <w:color w:val="auto"/>
                <w:highlight w:val="none"/>
              </w:rPr>
            </w:pPr>
          </w:p>
          <w:p w14:paraId="15DF7B50">
            <w:pPr>
              <w:ind w:firstLine="358" w:firstLineChars="198"/>
              <w:jc w:val="center"/>
              <w:rPr>
                <w:rFonts w:hint="eastAsia" w:ascii="黑体" w:hAnsi="黑体" w:eastAsia="黑体" w:cs="黑体"/>
                <w:color w:val="auto"/>
                <w:sz w:val="18"/>
                <w:szCs w:val="18"/>
                <w:highlight w:val="none"/>
              </w:rPr>
            </w:pPr>
            <w:r>
              <w:rPr>
                <w:rFonts w:hint="eastAsia" w:ascii="黑体" w:hAnsi="黑体" w:eastAsia="黑体" w:cs="黑体"/>
                <w:b/>
                <w:color w:val="auto"/>
                <w:kern w:val="0"/>
                <w:sz w:val="18"/>
                <w:szCs w:val="18"/>
                <w:highlight w:val="none"/>
              </w:rPr>
              <w:t>表</w:t>
            </w:r>
            <w:r>
              <w:rPr>
                <w:b/>
                <w:color w:val="auto"/>
                <w:kern w:val="0"/>
                <w:sz w:val="18"/>
                <w:szCs w:val="18"/>
                <w:highlight w:val="none"/>
              </w:rPr>
              <w:t xml:space="preserve">3.2.2-1  </w:t>
            </w:r>
            <w:r>
              <w:rPr>
                <w:rFonts w:hint="eastAsia" w:ascii="黑体" w:hAnsi="黑体" w:eastAsia="黑体" w:cs="黑体"/>
                <w:b/>
                <w:color w:val="auto"/>
                <w:kern w:val="0"/>
                <w:sz w:val="18"/>
                <w:szCs w:val="18"/>
                <w:highlight w:val="none"/>
              </w:rPr>
              <w:t>承重砖的折压比</w:t>
            </w:r>
          </w:p>
          <w:tbl>
            <w:tblPr>
              <w:tblStyle w:val="7"/>
              <w:tblW w:w="4095" w:type="dxa"/>
              <w:jc w:val="center"/>
              <w:tblLayout w:type="fixed"/>
              <w:tblCellMar>
                <w:top w:w="0" w:type="dxa"/>
                <w:left w:w="108" w:type="dxa"/>
                <w:bottom w:w="0" w:type="dxa"/>
                <w:right w:w="108" w:type="dxa"/>
              </w:tblCellMar>
            </w:tblPr>
            <w:tblGrid>
              <w:gridCol w:w="683"/>
              <w:gridCol w:w="679"/>
              <w:gridCol w:w="541"/>
              <w:gridCol w:w="569"/>
              <w:gridCol w:w="548"/>
              <w:gridCol w:w="538"/>
              <w:gridCol w:w="537"/>
            </w:tblGrid>
            <w:tr w14:paraId="49A1F97A">
              <w:tblPrEx>
                <w:tblCellMar>
                  <w:top w:w="0" w:type="dxa"/>
                  <w:left w:w="108" w:type="dxa"/>
                  <w:bottom w:w="0" w:type="dxa"/>
                  <w:right w:w="108" w:type="dxa"/>
                </w:tblCellMar>
              </w:tblPrEx>
              <w:trPr>
                <w:trHeight w:val="276" w:hRule="atLeast"/>
                <w:jc w:val="center"/>
              </w:trPr>
              <w:tc>
                <w:tcPr>
                  <w:tcW w:w="683" w:type="dxa"/>
                  <w:vMerge w:val="restart"/>
                  <w:tcBorders>
                    <w:top w:val="single" w:color="auto" w:sz="4" w:space="0"/>
                    <w:left w:val="single" w:color="auto" w:sz="8" w:space="0"/>
                    <w:bottom w:val="single" w:color="auto" w:sz="4" w:space="0"/>
                    <w:right w:val="single" w:color="auto" w:sz="4" w:space="0"/>
                  </w:tcBorders>
                  <w:noWrap/>
                  <w:vAlign w:val="center"/>
                </w:tcPr>
                <w:p w14:paraId="1BC70302">
                  <w:pPr>
                    <w:widowControl/>
                    <w:jc w:val="center"/>
                    <w:rPr>
                      <w:rFonts w:hint="eastAsia" w:ascii="黑体" w:hAnsi="黑体" w:eastAsia="黑体" w:cs="黑体"/>
                      <w:b/>
                      <w:color w:val="auto"/>
                      <w:kern w:val="0"/>
                      <w:sz w:val="18"/>
                      <w:szCs w:val="18"/>
                      <w:highlight w:val="none"/>
                    </w:rPr>
                  </w:pPr>
                  <w:r>
                    <w:rPr>
                      <w:rFonts w:hint="eastAsia" w:ascii="黑体" w:hAnsi="黑体" w:eastAsia="黑体" w:cs="黑体"/>
                      <w:b/>
                      <w:color w:val="auto"/>
                      <w:kern w:val="0"/>
                      <w:sz w:val="18"/>
                      <w:szCs w:val="18"/>
                      <w:highlight w:val="none"/>
                    </w:rPr>
                    <w:t>砖种类</w:t>
                  </w:r>
                </w:p>
              </w:tc>
              <w:tc>
                <w:tcPr>
                  <w:tcW w:w="679" w:type="dxa"/>
                  <w:vMerge w:val="restart"/>
                  <w:tcBorders>
                    <w:top w:val="single" w:color="auto" w:sz="4" w:space="0"/>
                    <w:left w:val="single" w:color="auto" w:sz="4" w:space="0"/>
                    <w:bottom w:val="single" w:color="auto" w:sz="4" w:space="0"/>
                    <w:right w:val="single" w:color="auto" w:sz="4" w:space="0"/>
                  </w:tcBorders>
                  <w:noWrap/>
                  <w:vAlign w:val="center"/>
                </w:tcPr>
                <w:p w14:paraId="63CB07B2">
                  <w:pPr>
                    <w:widowControl/>
                    <w:jc w:val="center"/>
                    <w:rPr>
                      <w:b/>
                      <w:color w:val="auto"/>
                      <w:kern w:val="0"/>
                      <w:sz w:val="18"/>
                      <w:szCs w:val="18"/>
                      <w:highlight w:val="none"/>
                    </w:rPr>
                  </w:pPr>
                  <w:r>
                    <w:rPr>
                      <w:rFonts w:hint="eastAsia" w:ascii="黑体" w:hAnsi="黑体" w:eastAsia="黑体" w:cs="黑体"/>
                      <w:b/>
                      <w:color w:val="auto"/>
                      <w:kern w:val="0"/>
                      <w:sz w:val="18"/>
                      <w:szCs w:val="18"/>
                      <w:highlight w:val="none"/>
                    </w:rPr>
                    <w:t>高度</w:t>
                  </w:r>
                  <w:r>
                    <w:rPr>
                      <w:b/>
                      <w:color w:val="auto"/>
                      <w:kern w:val="0"/>
                      <w:sz w:val="18"/>
                      <w:szCs w:val="18"/>
                      <w:highlight w:val="none"/>
                    </w:rPr>
                    <w:t>(mm)</w:t>
                  </w:r>
                </w:p>
              </w:tc>
              <w:tc>
                <w:tcPr>
                  <w:tcW w:w="2733" w:type="dxa"/>
                  <w:gridSpan w:val="5"/>
                  <w:tcBorders>
                    <w:top w:val="single" w:color="auto" w:sz="4" w:space="0"/>
                    <w:left w:val="nil"/>
                    <w:bottom w:val="single" w:color="auto" w:sz="4" w:space="0"/>
                    <w:right w:val="single" w:color="000000" w:sz="8" w:space="0"/>
                  </w:tcBorders>
                  <w:noWrap/>
                  <w:vAlign w:val="center"/>
                </w:tcPr>
                <w:p w14:paraId="66AB9305">
                  <w:pPr>
                    <w:widowControl/>
                    <w:jc w:val="center"/>
                    <w:rPr>
                      <w:b/>
                      <w:color w:val="auto"/>
                      <w:kern w:val="0"/>
                      <w:sz w:val="18"/>
                      <w:szCs w:val="18"/>
                      <w:highlight w:val="none"/>
                    </w:rPr>
                  </w:pPr>
                  <w:r>
                    <w:rPr>
                      <w:rFonts w:hint="eastAsia" w:ascii="黑体" w:hAnsi="黑体" w:eastAsia="黑体" w:cs="黑体"/>
                      <w:b/>
                      <w:color w:val="auto"/>
                      <w:kern w:val="0"/>
                      <w:sz w:val="18"/>
                      <w:szCs w:val="18"/>
                      <w:highlight w:val="none"/>
                    </w:rPr>
                    <w:t>砖强度等级</w:t>
                  </w:r>
                </w:p>
              </w:tc>
            </w:tr>
            <w:tr w14:paraId="2BFDC08F">
              <w:tblPrEx>
                <w:tblCellMar>
                  <w:top w:w="0" w:type="dxa"/>
                  <w:left w:w="108" w:type="dxa"/>
                  <w:bottom w:w="0" w:type="dxa"/>
                  <w:right w:w="108" w:type="dxa"/>
                </w:tblCellMar>
              </w:tblPrEx>
              <w:trPr>
                <w:trHeight w:val="397" w:hRule="atLeast"/>
                <w:jc w:val="center"/>
              </w:trPr>
              <w:tc>
                <w:tcPr>
                  <w:tcW w:w="683" w:type="dxa"/>
                  <w:vMerge w:val="continue"/>
                  <w:tcBorders>
                    <w:top w:val="nil"/>
                    <w:left w:val="single" w:color="auto" w:sz="8" w:space="0"/>
                    <w:bottom w:val="single" w:color="auto" w:sz="4" w:space="0"/>
                    <w:right w:val="single" w:color="auto" w:sz="4" w:space="0"/>
                  </w:tcBorders>
                  <w:noWrap w:val="0"/>
                  <w:vAlign w:val="center"/>
                </w:tcPr>
                <w:p w14:paraId="73EFA592">
                  <w:pPr>
                    <w:widowControl/>
                    <w:jc w:val="left"/>
                    <w:rPr>
                      <w:rFonts w:hint="eastAsia" w:ascii="黑体" w:hAnsi="黑体" w:eastAsia="黑体" w:cs="黑体"/>
                      <w:b/>
                      <w:color w:val="auto"/>
                      <w:kern w:val="0"/>
                      <w:sz w:val="18"/>
                      <w:szCs w:val="18"/>
                      <w:highlight w:val="none"/>
                    </w:rPr>
                  </w:pPr>
                </w:p>
              </w:tc>
              <w:tc>
                <w:tcPr>
                  <w:tcW w:w="679" w:type="dxa"/>
                  <w:vMerge w:val="continue"/>
                  <w:tcBorders>
                    <w:top w:val="nil"/>
                    <w:left w:val="single" w:color="auto" w:sz="4" w:space="0"/>
                    <w:bottom w:val="single" w:color="auto" w:sz="4" w:space="0"/>
                    <w:right w:val="single" w:color="auto" w:sz="4" w:space="0"/>
                  </w:tcBorders>
                  <w:noWrap w:val="0"/>
                  <w:vAlign w:val="center"/>
                </w:tcPr>
                <w:p w14:paraId="13F596BB">
                  <w:pPr>
                    <w:widowControl/>
                    <w:jc w:val="left"/>
                    <w:rPr>
                      <w:b/>
                      <w:color w:val="auto"/>
                      <w:kern w:val="0"/>
                      <w:sz w:val="18"/>
                      <w:szCs w:val="18"/>
                      <w:highlight w:val="none"/>
                    </w:rPr>
                  </w:pPr>
                </w:p>
              </w:tc>
              <w:tc>
                <w:tcPr>
                  <w:tcW w:w="541" w:type="dxa"/>
                  <w:tcBorders>
                    <w:top w:val="nil"/>
                    <w:left w:val="nil"/>
                    <w:bottom w:val="single" w:color="auto" w:sz="4" w:space="0"/>
                    <w:right w:val="single" w:color="auto" w:sz="4" w:space="0"/>
                  </w:tcBorders>
                  <w:noWrap/>
                  <w:vAlign w:val="center"/>
                </w:tcPr>
                <w:p w14:paraId="62951208">
                  <w:pPr>
                    <w:widowControl/>
                    <w:jc w:val="center"/>
                    <w:rPr>
                      <w:b/>
                      <w:color w:val="auto"/>
                      <w:kern w:val="0"/>
                      <w:sz w:val="18"/>
                      <w:szCs w:val="18"/>
                      <w:highlight w:val="none"/>
                    </w:rPr>
                  </w:pPr>
                  <w:r>
                    <w:rPr>
                      <w:b/>
                      <w:color w:val="auto"/>
                      <w:kern w:val="0"/>
                      <w:sz w:val="18"/>
                      <w:szCs w:val="18"/>
                      <w:highlight w:val="none"/>
                    </w:rPr>
                    <w:t>MU30</w:t>
                  </w:r>
                </w:p>
              </w:tc>
              <w:tc>
                <w:tcPr>
                  <w:tcW w:w="569" w:type="dxa"/>
                  <w:tcBorders>
                    <w:top w:val="nil"/>
                    <w:left w:val="nil"/>
                    <w:bottom w:val="single" w:color="auto" w:sz="4" w:space="0"/>
                    <w:right w:val="single" w:color="auto" w:sz="4" w:space="0"/>
                  </w:tcBorders>
                  <w:noWrap/>
                  <w:vAlign w:val="center"/>
                </w:tcPr>
                <w:p w14:paraId="7B96A4E9">
                  <w:pPr>
                    <w:widowControl/>
                    <w:jc w:val="center"/>
                    <w:rPr>
                      <w:b/>
                      <w:color w:val="auto"/>
                      <w:kern w:val="0"/>
                      <w:sz w:val="18"/>
                      <w:szCs w:val="18"/>
                      <w:highlight w:val="none"/>
                    </w:rPr>
                  </w:pPr>
                  <w:r>
                    <w:rPr>
                      <w:b/>
                      <w:color w:val="auto"/>
                      <w:kern w:val="0"/>
                      <w:sz w:val="18"/>
                      <w:szCs w:val="18"/>
                      <w:highlight w:val="none"/>
                    </w:rPr>
                    <w:t>MU25</w:t>
                  </w:r>
                </w:p>
              </w:tc>
              <w:tc>
                <w:tcPr>
                  <w:tcW w:w="548" w:type="dxa"/>
                  <w:tcBorders>
                    <w:top w:val="nil"/>
                    <w:left w:val="nil"/>
                    <w:bottom w:val="single" w:color="auto" w:sz="4" w:space="0"/>
                    <w:right w:val="single" w:color="auto" w:sz="4" w:space="0"/>
                  </w:tcBorders>
                  <w:noWrap/>
                  <w:vAlign w:val="center"/>
                </w:tcPr>
                <w:p w14:paraId="58184E9A">
                  <w:pPr>
                    <w:widowControl/>
                    <w:jc w:val="center"/>
                    <w:rPr>
                      <w:b/>
                      <w:color w:val="auto"/>
                      <w:kern w:val="0"/>
                      <w:sz w:val="18"/>
                      <w:szCs w:val="18"/>
                      <w:highlight w:val="none"/>
                    </w:rPr>
                  </w:pPr>
                  <w:r>
                    <w:rPr>
                      <w:b/>
                      <w:color w:val="auto"/>
                      <w:kern w:val="0"/>
                      <w:sz w:val="18"/>
                      <w:szCs w:val="18"/>
                      <w:highlight w:val="none"/>
                    </w:rPr>
                    <w:t>MU20</w:t>
                  </w:r>
                </w:p>
              </w:tc>
              <w:tc>
                <w:tcPr>
                  <w:tcW w:w="538" w:type="dxa"/>
                  <w:tcBorders>
                    <w:top w:val="nil"/>
                    <w:left w:val="nil"/>
                    <w:bottom w:val="single" w:color="auto" w:sz="4" w:space="0"/>
                    <w:right w:val="single" w:color="auto" w:sz="4" w:space="0"/>
                  </w:tcBorders>
                  <w:noWrap/>
                  <w:vAlign w:val="center"/>
                </w:tcPr>
                <w:p w14:paraId="184A3626">
                  <w:pPr>
                    <w:widowControl/>
                    <w:jc w:val="center"/>
                    <w:rPr>
                      <w:b/>
                      <w:color w:val="auto"/>
                      <w:kern w:val="0"/>
                      <w:sz w:val="18"/>
                      <w:szCs w:val="18"/>
                      <w:highlight w:val="none"/>
                    </w:rPr>
                  </w:pPr>
                  <w:r>
                    <w:rPr>
                      <w:b/>
                      <w:color w:val="auto"/>
                      <w:kern w:val="0"/>
                      <w:sz w:val="18"/>
                      <w:szCs w:val="18"/>
                      <w:highlight w:val="none"/>
                    </w:rPr>
                    <w:t>MU15</w:t>
                  </w:r>
                </w:p>
              </w:tc>
              <w:tc>
                <w:tcPr>
                  <w:tcW w:w="537" w:type="dxa"/>
                  <w:tcBorders>
                    <w:top w:val="nil"/>
                    <w:left w:val="nil"/>
                    <w:bottom w:val="single" w:color="auto" w:sz="4" w:space="0"/>
                    <w:right w:val="single" w:color="auto" w:sz="8" w:space="0"/>
                  </w:tcBorders>
                  <w:noWrap/>
                  <w:vAlign w:val="center"/>
                </w:tcPr>
                <w:p w14:paraId="0A263E3B">
                  <w:pPr>
                    <w:widowControl/>
                    <w:jc w:val="center"/>
                    <w:rPr>
                      <w:b/>
                      <w:color w:val="auto"/>
                      <w:kern w:val="0"/>
                      <w:sz w:val="18"/>
                      <w:szCs w:val="18"/>
                      <w:highlight w:val="none"/>
                    </w:rPr>
                  </w:pPr>
                  <w:r>
                    <w:rPr>
                      <w:b/>
                      <w:color w:val="auto"/>
                      <w:kern w:val="0"/>
                      <w:sz w:val="18"/>
                      <w:szCs w:val="18"/>
                      <w:highlight w:val="none"/>
                    </w:rPr>
                    <w:t>MU10</w:t>
                  </w:r>
                </w:p>
              </w:tc>
            </w:tr>
            <w:tr w14:paraId="235DCD2C">
              <w:tblPrEx>
                <w:tblCellMar>
                  <w:top w:w="0" w:type="dxa"/>
                  <w:left w:w="108" w:type="dxa"/>
                  <w:bottom w:w="0" w:type="dxa"/>
                  <w:right w:w="108" w:type="dxa"/>
                </w:tblCellMar>
              </w:tblPrEx>
              <w:trPr>
                <w:trHeight w:val="276" w:hRule="atLeast"/>
                <w:jc w:val="center"/>
              </w:trPr>
              <w:tc>
                <w:tcPr>
                  <w:tcW w:w="683" w:type="dxa"/>
                  <w:vMerge w:val="continue"/>
                  <w:tcBorders>
                    <w:top w:val="nil"/>
                    <w:left w:val="single" w:color="auto" w:sz="8" w:space="0"/>
                    <w:bottom w:val="single" w:color="auto" w:sz="4" w:space="0"/>
                    <w:right w:val="single" w:color="auto" w:sz="4" w:space="0"/>
                  </w:tcBorders>
                  <w:noWrap w:val="0"/>
                  <w:vAlign w:val="center"/>
                </w:tcPr>
                <w:p w14:paraId="6E6F24E3">
                  <w:pPr>
                    <w:widowControl/>
                    <w:jc w:val="left"/>
                    <w:rPr>
                      <w:rFonts w:hint="eastAsia" w:ascii="黑体" w:hAnsi="黑体" w:eastAsia="黑体" w:cs="黑体"/>
                      <w:b/>
                      <w:color w:val="auto"/>
                      <w:kern w:val="0"/>
                      <w:sz w:val="18"/>
                      <w:szCs w:val="18"/>
                      <w:highlight w:val="none"/>
                    </w:rPr>
                  </w:pPr>
                </w:p>
              </w:tc>
              <w:tc>
                <w:tcPr>
                  <w:tcW w:w="679" w:type="dxa"/>
                  <w:vMerge w:val="continue"/>
                  <w:tcBorders>
                    <w:top w:val="nil"/>
                    <w:left w:val="single" w:color="auto" w:sz="4" w:space="0"/>
                    <w:bottom w:val="single" w:color="auto" w:sz="4" w:space="0"/>
                    <w:right w:val="single" w:color="auto" w:sz="4" w:space="0"/>
                  </w:tcBorders>
                  <w:noWrap w:val="0"/>
                  <w:vAlign w:val="center"/>
                </w:tcPr>
                <w:p w14:paraId="32B78C0B">
                  <w:pPr>
                    <w:widowControl/>
                    <w:jc w:val="left"/>
                    <w:rPr>
                      <w:b/>
                      <w:color w:val="auto"/>
                      <w:kern w:val="0"/>
                      <w:sz w:val="18"/>
                      <w:szCs w:val="18"/>
                      <w:highlight w:val="none"/>
                    </w:rPr>
                  </w:pPr>
                </w:p>
              </w:tc>
              <w:tc>
                <w:tcPr>
                  <w:tcW w:w="2733" w:type="dxa"/>
                  <w:gridSpan w:val="5"/>
                  <w:tcBorders>
                    <w:top w:val="single" w:color="auto" w:sz="4" w:space="0"/>
                    <w:left w:val="nil"/>
                    <w:bottom w:val="single" w:color="auto" w:sz="4" w:space="0"/>
                    <w:right w:val="single" w:color="000000" w:sz="8" w:space="0"/>
                  </w:tcBorders>
                  <w:noWrap/>
                  <w:vAlign w:val="center"/>
                </w:tcPr>
                <w:p w14:paraId="4D14C9A6">
                  <w:pPr>
                    <w:widowControl/>
                    <w:jc w:val="center"/>
                    <w:rPr>
                      <w:b/>
                      <w:color w:val="auto"/>
                      <w:kern w:val="0"/>
                      <w:sz w:val="18"/>
                      <w:szCs w:val="18"/>
                      <w:highlight w:val="none"/>
                    </w:rPr>
                  </w:pPr>
                  <w:r>
                    <w:rPr>
                      <w:rFonts w:hint="eastAsia" w:ascii="黑体" w:hAnsi="黑体" w:eastAsia="黑体" w:cs="黑体"/>
                      <w:b/>
                      <w:color w:val="auto"/>
                      <w:kern w:val="0"/>
                      <w:sz w:val="18"/>
                      <w:szCs w:val="18"/>
                      <w:highlight w:val="none"/>
                    </w:rPr>
                    <w:t>折压比</w:t>
                  </w:r>
                </w:p>
              </w:tc>
            </w:tr>
            <w:tr w14:paraId="06CD40EC">
              <w:tblPrEx>
                <w:tblCellMar>
                  <w:top w:w="0" w:type="dxa"/>
                  <w:left w:w="108" w:type="dxa"/>
                  <w:bottom w:w="0" w:type="dxa"/>
                  <w:right w:w="108" w:type="dxa"/>
                </w:tblCellMar>
              </w:tblPrEx>
              <w:trPr>
                <w:trHeight w:val="276" w:hRule="atLeast"/>
                <w:jc w:val="center"/>
              </w:trPr>
              <w:tc>
                <w:tcPr>
                  <w:tcW w:w="683" w:type="dxa"/>
                  <w:tcBorders>
                    <w:top w:val="nil"/>
                    <w:left w:val="single" w:color="auto" w:sz="8" w:space="0"/>
                    <w:bottom w:val="single" w:color="auto" w:sz="4" w:space="0"/>
                    <w:right w:val="single" w:color="auto" w:sz="4" w:space="0"/>
                  </w:tcBorders>
                  <w:noWrap/>
                  <w:vAlign w:val="center"/>
                </w:tcPr>
                <w:p w14:paraId="202E6012">
                  <w:pPr>
                    <w:widowControl/>
                    <w:jc w:val="center"/>
                    <w:rPr>
                      <w:rFonts w:hint="eastAsia" w:ascii="黑体" w:hAnsi="黑体" w:eastAsia="黑体" w:cs="黑体"/>
                      <w:b/>
                      <w:color w:val="auto"/>
                      <w:kern w:val="0"/>
                      <w:sz w:val="18"/>
                      <w:szCs w:val="18"/>
                      <w:highlight w:val="none"/>
                    </w:rPr>
                  </w:pPr>
                  <w:r>
                    <w:rPr>
                      <w:rFonts w:hint="eastAsia" w:ascii="黑体" w:hAnsi="黑体" w:eastAsia="黑体" w:cs="黑体"/>
                      <w:b/>
                      <w:color w:val="auto"/>
                      <w:kern w:val="0"/>
                      <w:sz w:val="18"/>
                      <w:szCs w:val="18"/>
                      <w:highlight w:val="none"/>
                    </w:rPr>
                    <w:t>蒸压普通砖</w:t>
                  </w:r>
                </w:p>
              </w:tc>
              <w:tc>
                <w:tcPr>
                  <w:tcW w:w="679" w:type="dxa"/>
                  <w:tcBorders>
                    <w:top w:val="nil"/>
                    <w:left w:val="nil"/>
                    <w:bottom w:val="single" w:color="auto" w:sz="4" w:space="0"/>
                    <w:right w:val="single" w:color="auto" w:sz="4" w:space="0"/>
                  </w:tcBorders>
                  <w:noWrap/>
                  <w:vAlign w:val="center"/>
                </w:tcPr>
                <w:p w14:paraId="37DD70C2">
                  <w:pPr>
                    <w:widowControl/>
                    <w:jc w:val="center"/>
                    <w:rPr>
                      <w:b/>
                      <w:color w:val="auto"/>
                      <w:kern w:val="0"/>
                      <w:sz w:val="18"/>
                      <w:szCs w:val="18"/>
                      <w:highlight w:val="none"/>
                    </w:rPr>
                  </w:pPr>
                  <w:r>
                    <w:rPr>
                      <w:b/>
                      <w:color w:val="auto"/>
                      <w:kern w:val="0"/>
                      <w:sz w:val="18"/>
                      <w:szCs w:val="18"/>
                      <w:highlight w:val="none"/>
                    </w:rPr>
                    <w:t>53</w:t>
                  </w:r>
                </w:p>
              </w:tc>
              <w:tc>
                <w:tcPr>
                  <w:tcW w:w="541" w:type="dxa"/>
                  <w:tcBorders>
                    <w:top w:val="nil"/>
                    <w:left w:val="nil"/>
                    <w:bottom w:val="single" w:color="auto" w:sz="4" w:space="0"/>
                    <w:right w:val="single" w:color="auto" w:sz="4" w:space="0"/>
                  </w:tcBorders>
                  <w:noWrap/>
                  <w:vAlign w:val="center"/>
                </w:tcPr>
                <w:p w14:paraId="7F2BCC76">
                  <w:pPr>
                    <w:widowControl/>
                    <w:jc w:val="center"/>
                    <w:rPr>
                      <w:b/>
                      <w:color w:val="auto"/>
                      <w:kern w:val="0"/>
                      <w:sz w:val="18"/>
                      <w:szCs w:val="18"/>
                      <w:highlight w:val="none"/>
                    </w:rPr>
                  </w:pPr>
                  <w:r>
                    <w:rPr>
                      <w:b/>
                      <w:color w:val="auto"/>
                      <w:kern w:val="0"/>
                      <w:sz w:val="18"/>
                      <w:szCs w:val="18"/>
                      <w:highlight w:val="none"/>
                    </w:rPr>
                    <w:t>0.16</w:t>
                  </w:r>
                </w:p>
              </w:tc>
              <w:tc>
                <w:tcPr>
                  <w:tcW w:w="569" w:type="dxa"/>
                  <w:tcBorders>
                    <w:top w:val="nil"/>
                    <w:left w:val="nil"/>
                    <w:bottom w:val="single" w:color="auto" w:sz="4" w:space="0"/>
                    <w:right w:val="single" w:color="auto" w:sz="4" w:space="0"/>
                  </w:tcBorders>
                  <w:noWrap/>
                  <w:vAlign w:val="center"/>
                </w:tcPr>
                <w:p w14:paraId="262337FA">
                  <w:pPr>
                    <w:widowControl/>
                    <w:jc w:val="center"/>
                    <w:rPr>
                      <w:b/>
                      <w:color w:val="auto"/>
                      <w:kern w:val="0"/>
                      <w:sz w:val="18"/>
                      <w:szCs w:val="18"/>
                      <w:highlight w:val="none"/>
                    </w:rPr>
                  </w:pPr>
                  <w:r>
                    <w:rPr>
                      <w:b/>
                      <w:color w:val="auto"/>
                      <w:kern w:val="0"/>
                      <w:sz w:val="18"/>
                      <w:szCs w:val="18"/>
                      <w:highlight w:val="none"/>
                    </w:rPr>
                    <w:t>0.18</w:t>
                  </w:r>
                </w:p>
              </w:tc>
              <w:tc>
                <w:tcPr>
                  <w:tcW w:w="548" w:type="dxa"/>
                  <w:tcBorders>
                    <w:top w:val="nil"/>
                    <w:left w:val="nil"/>
                    <w:bottom w:val="single" w:color="auto" w:sz="4" w:space="0"/>
                    <w:right w:val="single" w:color="auto" w:sz="4" w:space="0"/>
                  </w:tcBorders>
                  <w:noWrap/>
                  <w:vAlign w:val="center"/>
                </w:tcPr>
                <w:p w14:paraId="5E0D721B">
                  <w:pPr>
                    <w:widowControl/>
                    <w:jc w:val="center"/>
                    <w:rPr>
                      <w:b/>
                      <w:color w:val="auto"/>
                      <w:kern w:val="0"/>
                      <w:sz w:val="18"/>
                      <w:szCs w:val="18"/>
                      <w:highlight w:val="none"/>
                    </w:rPr>
                  </w:pPr>
                  <w:r>
                    <w:rPr>
                      <w:b/>
                      <w:color w:val="auto"/>
                      <w:kern w:val="0"/>
                      <w:sz w:val="18"/>
                      <w:szCs w:val="18"/>
                      <w:highlight w:val="none"/>
                    </w:rPr>
                    <w:t>0.20</w:t>
                  </w:r>
                </w:p>
              </w:tc>
              <w:tc>
                <w:tcPr>
                  <w:tcW w:w="538" w:type="dxa"/>
                  <w:tcBorders>
                    <w:top w:val="nil"/>
                    <w:left w:val="nil"/>
                    <w:bottom w:val="single" w:color="auto" w:sz="4" w:space="0"/>
                    <w:right w:val="single" w:color="auto" w:sz="4" w:space="0"/>
                  </w:tcBorders>
                  <w:noWrap/>
                  <w:vAlign w:val="center"/>
                </w:tcPr>
                <w:p w14:paraId="6F6E688A">
                  <w:pPr>
                    <w:widowControl/>
                    <w:jc w:val="center"/>
                    <w:rPr>
                      <w:b/>
                      <w:color w:val="auto"/>
                      <w:kern w:val="0"/>
                      <w:sz w:val="18"/>
                      <w:szCs w:val="18"/>
                      <w:highlight w:val="none"/>
                    </w:rPr>
                  </w:pPr>
                  <w:r>
                    <w:rPr>
                      <w:b/>
                      <w:color w:val="auto"/>
                      <w:kern w:val="0"/>
                      <w:sz w:val="18"/>
                      <w:szCs w:val="18"/>
                      <w:highlight w:val="none"/>
                    </w:rPr>
                    <w:t>0.25</w:t>
                  </w:r>
                </w:p>
              </w:tc>
              <w:tc>
                <w:tcPr>
                  <w:tcW w:w="537" w:type="dxa"/>
                  <w:tcBorders>
                    <w:top w:val="nil"/>
                    <w:left w:val="nil"/>
                    <w:bottom w:val="single" w:color="auto" w:sz="4" w:space="0"/>
                    <w:right w:val="single" w:color="auto" w:sz="8" w:space="0"/>
                  </w:tcBorders>
                  <w:noWrap/>
                  <w:vAlign w:val="center"/>
                </w:tcPr>
                <w:p w14:paraId="5B916A26">
                  <w:pPr>
                    <w:widowControl/>
                    <w:jc w:val="center"/>
                    <w:rPr>
                      <w:b/>
                      <w:color w:val="auto"/>
                      <w:kern w:val="0"/>
                      <w:sz w:val="18"/>
                      <w:szCs w:val="18"/>
                      <w:highlight w:val="none"/>
                    </w:rPr>
                  </w:pPr>
                  <w:r>
                    <w:rPr>
                      <w:b/>
                      <w:color w:val="auto"/>
                      <w:kern w:val="0"/>
                      <w:sz w:val="18"/>
                      <w:szCs w:val="18"/>
                      <w:highlight w:val="none"/>
                    </w:rPr>
                    <w:t>—</w:t>
                  </w:r>
                </w:p>
              </w:tc>
            </w:tr>
            <w:tr w14:paraId="5A3E3E87">
              <w:tblPrEx>
                <w:tblCellMar>
                  <w:top w:w="0" w:type="dxa"/>
                  <w:left w:w="108" w:type="dxa"/>
                  <w:bottom w:w="0" w:type="dxa"/>
                  <w:right w:w="108" w:type="dxa"/>
                </w:tblCellMar>
              </w:tblPrEx>
              <w:trPr>
                <w:trHeight w:val="291" w:hRule="atLeast"/>
                <w:jc w:val="center"/>
              </w:trPr>
              <w:tc>
                <w:tcPr>
                  <w:tcW w:w="683" w:type="dxa"/>
                  <w:tcBorders>
                    <w:top w:val="single" w:color="auto" w:sz="4" w:space="0"/>
                    <w:left w:val="single" w:color="auto" w:sz="8" w:space="0"/>
                    <w:bottom w:val="single" w:color="auto" w:sz="4" w:space="0"/>
                    <w:right w:val="single" w:color="auto" w:sz="4" w:space="0"/>
                  </w:tcBorders>
                  <w:noWrap/>
                  <w:vAlign w:val="center"/>
                </w:tcPr>
                <w:p w14:paraId="0319DAA2">
                  <w:pPr>
                    <w:widowControl/>
                    <w:jc w:val="center"/>
                    <w:rPr>
                      <w:rFonts w:hint="eastAsia" w:ascii="黑体" w:hAnsi="黑体" w:eastAsia="黑体" w:cs="黑体"/>
                      <w:b/>
                      <w:color w:val="auto"/>
                      <w:kern w:val="0"/>
                      <w:sz w:val="18"/>
                      <w:szCs w:val="18"/>
                      <w:highlight w:val="none"/>
                    </w:rPr>
                  </w:pPr>
                  <w:r>
                    <w:rPr>
                      <w:rFonts w:hint="eastAsia" w:ascii="黑体" w:hAnsi="黑体" w:eastAsia="黑体" w:cs="黑体"/>
                      <w:b/>
                      <w:color w:val="auto"/>
                      <w:kern w:val="0"/>
                      <w:sz w:val="18"/>
                      <w:szCs w:val="18"/>
                      <w:highlight w:val="none"/>
                    </w:rPr>
                    <w:t>多孔砖</w:t>
                  </w:r>
                </w:p>
              </w:tc>
              <w:tc>
                <w:tcPr>
                  <w:tcW w:w="679" w:type="dxa"/>
                  <w:tcBorders>
                    <w:top w:val="single" w:color="auto" w:sz="4" w:space="0"/>
                    <w:left w:val="nil"/>
                    <w:bottom w:val="single" w:color="auto" w:sz="4" w:space="0"/>
                    <w:right w:val="single" w:color="auto" w:sz="4" w:space="0"/>
                  </w:tcBorders>
                  <w:noWrap/>
                  <w:vAlign w:val="center"/>
                </w:tcPr>
                <w:p w14:paraId="7DE19C29">
                  <w:pPr>
                    <w:widowControl/>
                    <w:jc w:val="center"/>
                    <w:rPr>
                      <w:b/>
                      <w:color w:val="auto"/>
                      <w:kern w:val="0"/>
                      <w:sz w:val="18"/>
                      <w:szCs w:val="18"/>
                      <w:highlight w:val="none"/>
                    </w:rPr>
                  </w:pPr>
                  <w:r>
                    <w:rPr>
                      <w:b/>
                      <w:color w:val="auto"/>
                      <w:kern w:val="0"/>
                      <w:sz w:val="18"/>
                      <w:szCs w:val="18"/>
                      <w:highlight w:val="none"/>
                    </w:rPr>
                    <w:t>90</w:t>
                  </w:r>
                </w:p>
              </w:tc>
              <w:tc>
                <w:tcPr>
                  <w:tcW w:w="541" w:type="dxa"/>
                  <w:tcBorders>
                    <w:top w:val="single" w:color="auto" w:sz="4" w:space="0"/>
                    <w:left w:val="nil"/>
                    <w:bottom w:val="single" w:color="auto" w:sz="4" w:space="0"/>
                    <w:right w:val="single" w:color="auto" w:sz="4" w:space="0"/>
                  </w:tcBorders>
                  <w:noWrap/>
                  <w:vAlign w:val="center"/>
                </w:tcPr>
                <w:p w14:paraId="630FD23B">
                  <w:pPr>
                    <w:widowControl/>
                    <w:jc w:val="center"/>
                    <w:rPr>
                      <w:b/>
                      <w:color w:val="auto"/>
                      <w:kern w:val="0"/>
                      <w:sz w:val="18"/>
                      <w:szCs w:val="18"/>
                      <w:highlight w:val="none"/>
                    </w:rPr>
                  </w:pPr>
                  <w:r>
                    <w:rPr>
                      <w:b/>
                      <w:color w:val="auto"/>
                      <w:kern w:val="0"/>
                      <w:sz w:val="18"/>
                      <w:szCs w:val="18"/>
                      <w:highlight w:val="none"/>
                    </w:rPr>
                    <w:t>0.21</w:t>
                  </w:r>
                </w:p>
              </w:tc>
              <w:tc>
                <w:tcPr>
                  <w:tcW w:w="569" w:type="dxa"/>
                  <w:tcBorders>
                    <w:top w:val="single" w:color="auto" w:sz="4" w:space="0"/>
                    <w:left w:val="nil"/>
                    <w:bottom w:val="single" w:color="auto" w:sz="4" w:space="0"/>
                    <w:right w:val="single" w:color="auto" w:sz="4" w:space="0"/>
                  </w:tcBorders>
                  <w:noWrap/>
                  <w:vAlign w:val="center"/>
                </w:tcPr>
                <w:p w14:paraId="15ABD82A">
                  <w:pPr>
                    <w:widowControl/>
                    <w:jc w:val="center"/>
                    <w:rPr>
                      <w:b/>
                      <w:color w:val="auto"/>
                      <w:kern w:val="0"/>
                      <w:sz w:val="18"/>
                      <w:szCs w:val="18"/>
                      <w:highlight w:val="none"/>
                    </w:rPr>
                  </w:pPr>
                  <w:r>
                    <w:rPr>
                      <w:b/>
                      <w:color w:val="auto"/>
                      <w:kern w:val="0"/>
                      <w:sz w:val="18"/>
                      <w:szCs w:val="18"/>
                      <w:highlight w:val="none"/>
                    </w:rPr>
                    <w:t>0.23</w:t>
                  </w:r>
                </w:p>
              </w:tc>
              <w:tc>
                <w:tcPr>
                  <w:tcW w:w="548" w:type="dxa"/>
                  <w:tcBorders>
                    <w:top w:val="single" w:color="auto" w:sz="4" w:space="0"/>
                    <w:left w:val="nil"/>
                    <w:bottom w:val="single" w:color="auto" w:sz="4" w:space="0"/>
                    <w:right w:val="single" w:color="auto" w:sz="4" w:space="0"/>
                  </w:tcBorders>
                  <w:noWrap/>
                  <w:vAlign w:val="center"/>
                </w:tcPr>
                <w:p w14:paraId="01FAEAC2">
                  <w:pPr>
                    <w:widowControl/>
                    <w:jc w:val="center"/>
                    <w:rPr>
                      <w:b/>
                      <w:color w:val="auto"/>
                      <w:kern w:val="0"/>
                      <w:sz w:val="18"/>
                      <w:szCs w:val="18"/>
                      <w:highlight w:val="none"/>
                    </w:rPr>
                  </w:pPr>
                  <w:r>
                    <w:rPr>
                      <w:b/>
                      <w:color w:val="auto"/>
                      <w:kern w:val="0"/>
                      <w:sz w:val="18"/>
                      <w:szCs w:val="18"/>
                      <w:highlight w:val="none"/>
                    </w:rPr>
                    <w:t>0.24</w:t>
                  </w:r>
                </w:p>
              </w:tc>
              <w:tc>
                <w:tcPr>
                  <w:tcW w:w="538" w:type="dxa"/>
                  <w:tcBorders>
                    <w:top w:val="single" w:color="auto" w:sz="4" w:space="0"/>
                    <w:left w:val="nil"/>
                    <w:bottom w:val="single" w:color="auto" w:sz="4" w:space="0"/>
                    <w:right w:val="single" w:color="auto" w:sz="4" w:space="0"/>
                  </w:tcBorders>
                  <w:noWrap/>
                  <w:vAlign w:val="center"/>
                </w:tcPr>
                <w:p w14:paraId="2331E74E">
                  <w:pPr>
                    <w:widowControl/>
                    <w:jc w:val="center"/>
                    <w:rPr>
                      <w:b/>
                      <w:color w:val="auto"/>
                      <w:kern w:val="0"/>
                      <w:sz w:val="18"/>
                      <w:szCs w:val="18"/>
                      <w:highlight w:val="none"/>
                    </w:rPr>
                  </w:pPr>
                  <w:r>
                    <w:rPr>
                      <w:b/>
                      <w:color w:val="auto"/>
                      <w:kern w:val="0"/>
                      <w:sz w:val="18"/>
                      <w:szCs w:val="18"/>
                      <w:highlight w:val="none"/>
                    </w:rPr>
                    <w:t>0.27</w:t>
                  </w:r>
                </w:p>
              </w:tc>
              <w:tc>
                <w:tcPr>
                  <w:tcW w:w="537" w:type="dxa"/>
                  <w:tcBorders>
                    <w:top w:val="single" w:color="auto" w:sz="4" w:space="0"/>
                    <w:left w:val="nil"/>
                    <w:bottom w:val="single" w:color="auto" w:sz="4" w:space="0"/>
                    <w:right w:val="single" w:color="auto" w:sz="8" w:space="0"/>
                  </w:tcBorders>
                  <w:noWrap/>
                  <w:vAlign w:val="center"/>
                </w:tcPr>
                <w:p w14:paraId="5C76A2C5">
                  <w:pPr>
                    <w:widowControl/>
                    <w:jc w:val="center"/>
                    <w:rPr>
                      <w:b/>
                      <w:color w:val="auto"/>
                      <w:kern w:val="0"/>
                      <w:sz w:val="18"/>
                      <w:szCs w:val="18"/>
                      <w:highlight w:val="none"/>
                    </w:rPr>
                  </w:pPr>
                  <w:r>
                    <w:rPr>
                      <w:b/>
                      <w:color w:val="auto"/>
                      <w:kern w:val="0"/>
                      <w:sz w:val="18"/>
                      <w:szCs w:val="18"/>
                      <w:highlight w:val="none"/>
                    </w:rPr>
                    <w:t>0.32</w:t>
                  </w:r>
                </w:p>
              </w:tc>
            </w:tr>
          </w:tbl>
          <w:p w14:paraId="43099A75">
            <w:pPr>
              <w:ind w:left="1080" w:leftChars="170" w:hanging="723" w:hangingChars="400"/>
              <w:jc w:val="left"/>
              <w:rPr>
                <w:b/>
                <w:color w:val="auto"/>
                <w:sz w:val="18"/>
                <w:szCs w:val="18"/>
                <w:highlight w:val="none"/>
              </w:rPr>
            </w:pPr>
            <w:r>
              <w:rPr>
                <w:rFonts w:hint="eastAsia" w:ascii="黑体" w:hAnsi="黑体" w:eastAsia="黑体" w:cs="黑体"/>
                <w:b/>
                <w:color w:val="auto"/>
                <w:sz w:val="18"/>
                <w:szCs w:val="18"/>
                <w:highlight w:val="none"/>
              </w:rPr>
              <w:t>注：</w:t>
            </w:r>
            <w:r>
              <w:rPr>
                <w:b/>
                <w:color w:val="auto"/>
                <w:sz w:val="18"/>
                <w:szCs w:val="18"/>
                <w:highlight w:val="none"/>
              </w:rPr>
              <w:t xml:space="preserve">1  </w:t>
            </w:r>
            <w:r>
              <w:rPr>
                <w:rFonts w:hint="eastAsia" w:ascii="黑体" w:hAnsi="黑体" w:eastAsia="黑体" w:cs="黑体"/>
                <w:b/>
                <w:color w:val="auto"/>
                <w:sz w:val="18"/>
                <w:szCs w:val="18"/>
                <w:highlight w:val="none"/>
              </w:rPr>
              <w:t>蒸压普通砖包括蒸压灰砂实心砖和蒸压粉煤灰实心砖；</w:t>
            </w:r>
          </w:p>
          <w:p w14:paraId="7601D292">
            <w:pPr>
              <w:ind w:firstLine="723" w:firstLineChars="400"/>
              <w:rPr>
                <w:b/>
                <w:bCs w:val="0"/>
                <w:color w:val="auto"/>
                <w:highlight w:val="none"/>
              </w:rPr>
            </w:pPr>
            <w:r>
              <w:rPr>
                <w:b/>
                <w:color w:val="auto"/>
                <w:sz w:val="18"/>
                <w:szCs w:val="18"/>
                <w:highlight w:val="none"/>
              </w:rPr>
              <w:t xml:space="preserve">2  </w:t>
            </w:r>
            <w:r>
              <w:rPr>
                <w:rFonts w:hint="eastAsia" w:ascii="黑体" w:hAnsi="黑体" w:eastAsia="黑体" w:cs="黑体"/>
                <w:b/>
                <w:color w:val="auto"/>
                <w:sz w:val="18"/>
                <w:szCs w:val="18"/>
                <w:highlight w:val="none"/>
              </w:rPr>
              <w:t>多孔砖包括烧结多孔砖和混凝土多孔砖。</w:t>
            </w:r>
          </w:p>
          <w:p w14:paraId="136FB14F">
            <w:pPr>
              <w:jc w:val="center"/>
              <w:rPr>
                <w:b/>
                <w:bCs w:val="0"/>
                <w:color w:val="auto"/>
                <w:sz w:val="18"/>
                <w:szCs w:val="18"/>
                <w:highlight w:val="none"/>
              </w:rPr>
            </w:pPr>
            <w:r>
              <w:rPr>
                <w:b/>
                <w:bCs w:val="0"/>
                <w:color w:val="auto"/>
                <w:kern w:val="0"/>
                <w:sz w:val="18"/>
                <w:szCs w:val="18"/>
                <w:highlight w:val="none"/>
              </w:rPr>
              <w:t>表3.2.2-2  蒸压加气混凝土的劈压比</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4"/>
              <w:gridCol w:w="641"/>
              <w:gridCol w:w="709"/>
              <w:gridCol w:w="832"/>
            </w:tblGrid>
            <w:tr w14:paraId="02C3D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4" w:type="dxa"/>
                  <w:noWrap w:val="0"/>
                  <w:vAlign w:val="top"/>
                </w:tcPr>
                <w:p w14:paraId="3419CB15">
                  <w:pPr>
                    <w:jc w:val="left"/>
                    <w:rPr>
                      <w:b w:val="0"/>
                      <w:bCs/>
                      <w:color w:val="auto"/>
                      <w:sz w:val="18"/>
                      <w:szCs w:val="18"/>
                      <w:highlight w:val="none"/>
                    </w:rPr>
                  </w:pPr>
                  <w:r>
                    <w:rPr>
                      <w:b w:val="0"/>
                      <w:bCs/>
                      <w:color w:val="auto"/>
                      <w:sz w:val="18"/>
                      <w:szCs w:val="18"/>
                      <w:highlight w:val="none"/>
                    </w:rPr>
                    <w:t>强度等级</w:t>
                  </w:r>
                </w:p>
              </w:tc>
              <w:tc>
                <w:tcPr>
                  <w:tcW w:w="641" w:type="dxa"/>
                  <w:noWrap w:val="0"/>
                  <w:vAlign w:val="top"/>
                </w:tcPr>
                <w:p w14:paraId="42014F8C">
                  <w:pPr>
                    <w:jc w:val="center"/>
                    <w:rPr>
                      <w:b w:val="0"/>
                      <w:bCs/>
                      <w:color w:val="auto"/>
                      <w:sz w:val="18"/>
                      <w:szCs w:val="18"/>
                      <w:highlight w:val="none"/>
                    </w:rPr>
                  </w:pPr>
                  <w:r>
                    <w:rPr>
                      <w:b w:val="0"/>
                      <w:bCs/>
                      <w:color w:val="auto"/>
                      <w:sz w:val="18"/>
                      <w:szCs w:val="18"/>
                      <w:highlight w:val="none"/>
                    </w:rPr>
                    <w:t>A3.5</w:t>
                  </w:r>
                </w:p>
              </w:tc>
              <w:tc>
                <w:tcPr>
                  <w:tcW w:w="709" w:type="dxa"/>
                  <w:noWrap w:val="0"/>
                  <w:vAlign w:val="top"/>
                </w:tcPr>
                <w:p w14:paraId="16785F7C">
                  <w:pPr>
                    <w:jc w:val="center"/>
                    <w:rPr>
                      <w:b w:val="0"/>
                      <w:bCs/>
                      <w:color w:val="auto"/>
                      <w:sz w:val="18"/>
                      <w:szCs w:val="18"/>
                      <w:highlight w:val="none"/>
                    </w:rPr>
                  </w:pPr>
                  <w:r>
                    <w:rPr>
                      <w:b w:val="0"/>
                      <w:bCs/>
                      <w:color w:val="auto"/>
                      <w:sz w:val="18"/>
                      <w:szCs w:val="18"/>
                      <w:highlight w:val="none"/>
                    </w:rPr>
                    <w:t>A5.0</w:t>
                  </w:r>
                </w:p>
              </w:tc>
              <w:tc>
                <w:tcPr>
                  <w:tcW w:w="832" w:type="dxa"/>
                  <w:noWrap w:val="0"/>
                  <w:vAlign w:val="top"/>
                </w:tcPr>
                <w:p w14:paraId="7C9E4205">
                  <w:pPr>
                    <w:jc w:val="center"/>
                    <w:rPr>
                      <w:b w:val="0"/>
                      <w:bCs/>
                      <w:color w:val="auto"/>
                      <w:sz w:val="18"/>
                      <w:szCs w:val="18"/>
                      <w:highlight w:val="none"/>
                    </w:rPr>
                  </w:pPr>
                  <w:r>
                    <w:rPr>
                      <w:b w:val="0"/>
                      <w:bCs/>
                      <w:color w:val="auto"/>
                      <w:sz w:val="18"/>
                      <w:szCs w:val="18"/>
                      <w:highlight w:val="none"/>
                    </w:rPr>
                    <w:t>A7.5</w:t>
                  </w:r>
                </w:p>
              </w:tc>
            </w:tr>
            <w:tr w14:paraId="697F6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4" w:type="dxa"/>
                  <w:noWrap w:val="0"/>
                  <w:vAlign w:val="top"/>
                </w:tcPr>
                <w:p w14:paraId="24E68F5D">
                  <w:pPr>
                    <w:jc w:val="center"/>
                    <w:rPr>
                      <w:b w:val="0"/>
                      <w:bCs/>
                      <w:color w:val="auto"/>
                      <w:sz w:val="18"/>
                      <w:szCs w:val="18"/>
                      <w:highlight w:val="none"/>
                    </w:rPr>
                  </w:pPr>
                  <w:r>
                    <w:rPr>
                      <w:b w:val="0"/>
                      <w:bCs/>
                      <w:color w:val="auto"/>
                      <w:sz w:val="18"/>
                      <w:szCs w:val="18"/>
                      <w:highlight w:val="none"/>
                    </w:rPr>
                    <w:t>劈压比</w:t>
                  </w:r>
                </w:p>
              </w:tc>
              <w:tc>
                <w:tcPr>
                  <w:tcW w:w="641" w:type="dxa"/>
                  <w:noWrap w:val="0"/>
                  <w:vAlign w:val="top"/>
                </w:tcPr>
                <w:p w14:paraId="29CBD6B9">
                  <w:pPr>
                    <w:jc w:val="center"/>
                    <w:rPr>
                      <w:b w:val="0"/>
                      <w:bCs/>
                      <w:color w:val="auto"/>
                      <w:sz w:val="18"/>
                      <w:szCs w:val="18"/>
                      <w:highlight w:val="none"/>
                    </w:rPr>
                  </w:pPr>
                  <w:r>
                    <w:rPr>
                      <w:b w:val="0"/>
                      <w:bCs/>
                      <w:color w:val="auto"/>
                      <w:sz w:val="18"/>
                      <w:szCs w:val="18"/>
                      <w:highlight w:val="none"/>
                    </w:rPr>
                    <w:t>0.16</w:t>
                  </w:r>
                </w:p>
              </w:tc>
              <w:tc>
                <w:tcPr>
                  <w:tcW w:w="709" w:type="dxa"/>
                  <w:noWrap w:val="0"/>
                  <w:vAlign w:val="top"/>
                </w:tcPr>
                <w:p w14:paraId="67C56A34">
                  <w:pPr>
                    <w:jc w:val="center"/>
                    <w:rPr>
                      <w:b w:val="0"/>
                      <w:bCs/>
                      <w:color w:val="auto"/>
                      <w:sz w:val="18"/>
                      <w:szCs w:val="18"/>
                      <w:highlight w:val="none"/>
                    </w:rPr>
                  </w:pPr>
                  <w:r>
                    <w:rPr>
                      <w:b w:val="0"/>
                      <w:bCs/>
                      <w:color w:val="auto"/>
                      <w:sz w:val="18"/>
                      <w:szCs w:val="18"/>
                      <w:highlight w:val="none"/>
                    </w:rPr>
                    <w:t>0.12</w:t>
                  </w:r>
                </w:p>
              </w:tc>
              <w:tc>
                <w:tcPr>
                  <w:tcW w:w="832" w:type="dxa"/>
                  <w:noWrap w:val="0"/>
                  <w:vAlign w:val="top"/>
                </w:tcPr>
                <w:p w14:paraId="2106088A">
                  <w:pPr>
                    <w:jc w:val="center"/>
                    <w:rPr>
                      <w:b w:val="0"/>
                      <w:bCs/>
                      <w:color w:val="auto"/>
                      <w:sz w:val="18"/>
                      <w:szCs w:val="18"/>
                      <w:highlight w:val="none"/>
                    </w:rPr>
                  </w:pPr>
                  <w:r>
                    <w:rPr>
                      <w:b w:val="0"/>
                      <w:bCs/>
                      <w:color w:val="auto"/>
                      <w:sz w:val="18"/>
                      <w:szCs w:val="18"/>
                      <w:highlight w:val="none"/>
                    </w:rPr>
                    <w:t>0.10</w:t>
                  </w:r>
                </w:p>
              </w:tc>
            </w:tr>
          </w:tbl>
          <w:p w14:paraId="3DBE6684">
            <w:pPr>
              <w:keepNext w:val="0"/>
              <w:keepLines w:val="0"/>
              <w:pageBreakBefore w:val="0"/>
              <w:widowControl w:val="0"/>
              <w:kinsoku/>
              <w:wordWrap/>
              <w:overflowPunct/>
              <w:topLinePunct w:val="0"/>
              <w:autoSpaceDE w:val="0"/>
              <w:autoSpaceDN w:val="0"/>
              <w:bidi w:val="0"/>
              <w:adjustRightInd/>
              <w:snapToGrid w:val="0"/>
              <w:jc w:val="center"/>
              <w:textAlignment w:val="auto"/>
              <w:rPr>
                <w:b/>
                <w:bCs w:val="0"/>
                <w:color w:val="auto"/>
                <w:sz w:val="18"/>
                <w:szCs w:val="18"/>
                <w:highlight w:val="none"/>
              </w:rPr>
            </w:pPr>
          </w:p>
          <w:p w14:paraId="16F39131">
            <w:pPr>
              <w:keepNext w:val="0"/>
              <w:keepLines w:val="0"/>
              <w:pageBreakBefore w:val="0"/>
              <w:widowControl w:val="0"/>
              <w:kinsoku/>
              <w:wordWrap/>
              <w:overflowPunct/>
              <w:topLinePunct w:val="0"/>
              <w:autoSpaceDE w:val="0"/>
              <w:autoSpaceDN w:val="0"/>
              <w:bidi w:val="0"/>
              <w:adjustRightInd/>
              <w:snapToGrid w:val="0"/>
              <w:jc w:val="center"/>
              <w:textAlignment w:val="auto"/>
              <w:rPr>
                <w:b/>
                <w:bCs w:val="0"/>
                <w:color w:val="auto"/>
                <w:sz w:val="18"/>
                <w:szCs w:val="18"/>
                <w:highlight w:val="none"/>
              </w:rPr>
            </w:pPr>
            <w:r>
              <w:rPr>
                <w:b/>
                <w:bCs w:val="0"/>
                <w:color w:val="auto"/>
                <w:sz w:val="18"/>
                <w:szCs w:val="18"/>
                <w:highlight w:val="none"/>
              </w:rPr>
              <w:t>表3.2.2-3  块体材料的最低强度等级</w:t>
            </w:r>
          </w:p>
          <w:tbl>
            <w:tblPr>
              <w:tblStyle w:val="7"/>
              <w:tblW w:w="43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7"/>
              <w:gridCol w:w="1241"/>
              <w:gridCol w:w="709"/>
              <w:gridCol w:w="1904"/>
            </w:tblGrid>
            <w:tr w14:paraId="067D7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8" w:type="dxa"/>
                  <w:gridSpan w:val="2"/>
                  <w:tcBorders>
                    <w:top w:val="single" w:color="auto" w:sz="4" w:space="0"/>
                    <w:left w:val="single" w:color="auto" w:sz="4" w:space="0"/>
                    <w:bottom w:val="single" w:color="auto" w:sz="4" w:space="0"/>
                  </w:tcBorders>
                  <w:noWrap w:val="0"/>
                  <w:vAlign w:val="center"/>
                </w:tcPr>
                <w:p w14:paraId="11FF710C">
                  <w:pPr>
                    <w:jc w:val="center"/>
                    <w:rPr>
                      <w:b w:val="0"/>
                      <w:bCs/>
                      <w:color w:val="auto"/>
                      <w:sz w:val="18"/>
                      <w:szCs w:val="18"/>
                      <w:highlight w:val="none"/>
                    </w:rPr>
                  </w:pPr>
                  <w:r>
                    <w:rPr>
                      <w:b w:val="0"/>
                      <w:bCs/>
                      <w:color w:val="auto"/>
                      <w:sz w:val="18"/>
                      <w:szCs w:val="18"/>
                      <w:highlight w:val="none"/>
                    </w:rPr>
                    <w:t>块体材料用途及类型</w:t>
                  </w:r>
                </w:p>
              </w:tc>
              <w:tc>
                <w:tcPr>
                  <w:tcW w:w="709" w:type="dxa"/>
                  <w:tcBorders>
                    <w:top w:val="single" w:color="auto" w:sz="4" w:space="0"/>
                    <w:bottom w:val="single" w:color="auto" w:sz="4" w:space="0"/>
                  </w:tcBorders>
                  <w:noWrap w:val="0"/>
                  <w:vAlign w:val="center"/>
                </w:tcPr>
                <w:p w14:paraId="4C8A6384">
                  <w:pPr>
                    <w:jc w:val="center"/>
                    <w:rPr>
                      <w:b w:val="0"/>
                      <w:bCs/>
                      <w:color w:val="auto"/>
                      <w:sz w:val="18"/>
                      <w:szCs w:val="18"/>
                      <w:highlight w:val="none"/>
                    </w:rPr>
                  </w:pPr>
                  <w:r>
                    <w:rPr>
                      <w:b w:val="0"/>
                      <w:bCs/>
                      <w:color w:val="auto"/>
                      <w:sz w:val="18"/>
                      <w:szCs w:val="18"/>
                      <w:highlight w:val="none"/>
                    </w:rPr>
                    <w:t>最低强度等级</w:t>
                  </w:r>
                </w:p>
              </w:tc>
              <w:tc>
                <w:tcPr>
                  <w:tcW w:w="1904" w:type="dxa"/>
                  <w:tcBorders>
                    <w:top w:val="single" w:color="auto" w:sz="4" w:space="0"/>
                    <w:bottom w:val="single" w:color="auto" w:sz="4" w:space="0"/>
                    <w:right w:val="single" w:color="auto" w:sz="4" w:space="0"/>
                  </w:tcBorders>
                  <w:noWrap w:val="0"/>
                  <w:vAlign w:val="center"/>
                </w:tcPr>
                <w:p w14:paraId="6CBDC6AB">
                  <w:pPr>
                    <w:jc w:val="center"/>
                    <w:rPr>
                      <w:b w:val="0"/>
                      <w:bCs/>
                      <w:color w:val="auto"/>
                      <w:sz w:val="18"/>
                      <w:szCs w:val="18"/>
                      <w:highlight w:val="none"/>
                    </w:rPr>
                  </w:pPr>
                  <w:r>
                    <w:rPr>
                      <w:b w:val="0"/>
                      <w:bCs/>
                      <w:color w:val="auto"/>
                      <w:sz w:val="18"/>
                      <w:szCs w:val="18"/>
                      <w:highlight w:val="none"/>
                    </w:rPr>
                    <w:t>备       注</w:t>
                  </w:r>
                </w:p>
              </w:tc>
            </w:tr>
            <w:tr w14:paraId="325F3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477" w:type="dxa"/>
                  <w:vMerge w:val="restart"/>
                  <w:tcBorders>
                    <w:top w:val="single" w:color="auto" w:sz="4" w:space="0"/>
                  </w:tcBorders>
                  <w:noWrap w:val="0"/>
                  <w:vAlign w:val="center"/>
                </w:tcPr>
                <w:p w14:paraId="505E86C3">
                  <w:pPr>
                    <w:jc w:val="center"/>
                    <w:rPr>
                      <w:b w:val="0"/>
                      <w:bCs/>
                      <w:color w:val="auto"/>
                      <w:sz w:val="18"/>
                      <w:szCs w:val="18"/>
                      <w:highlight w:val="none"/>
                    </w:rPr>
                  </w:pPr>
                  <w:r>
                    <w:rPr>
                      <w:b w:val="0"/>
                      <w:bCs/>
                      <w:color w:val="auto"/>
                      <w:sz w:val="18"/>
                      <w:szCs w:val="18"/>
                      <w:highlight w:val="none"/>
                    </w:rPr>
                    <w:t>承重墙</w:t>
                  </w:r>
                </w:p>
                <w:p w14:paraId="31A380CC">
                  <w:pPr>
                    <w:jc w:val="center"/>
                    <w:rPr>
                      <w:rFonts w:hint="default"/>
                      <w:b w:val="0"/>
                      <w:bCs/>
                      <w:color w:val="auto"/>
                      <w:sz w:val="18"/>
                      <w:szCs w:val="18"/>
                      <w:highlight w:val="none"/>
                      <w:lang w:val="en-US"/>
                    </w:rPr>
                  </w:pPr>
                </w:p>
              </w:tc>
              <w:tc>
                <w:tcPr>
                  <w:tcW w:w="1241" w:type="dxa"/>
                  <w:tcBorders>
                    <w:top w:val="single" w:color="auto" w:sz="4" w:space="0"/>
                  </w:tcBorders>
                  <w:noWrap w:val="0"/>
                  <w:vAlign w:val="center"/>
                </w:tcPr>
                <w:p w14:paraId="2058071D">
                  <w:pPr>
                    <w:rPr>
                      <w:b w:val="0"/>
                      <w:bCs/>
                      <w:color w:val="auto"/>
                      <w:sz w:val="18"/>
                      <w:szCs w:val="18"/>
                      <w:highlight w:val="none"/>
                    </w:rPr>
                  </w:pPr>
                  <w:r>
                    <w:rPr>
                      <w:b w:val="0"/>
                      <w:bCs/>
                      <w:color w:val="auto"/>
                      <w:sz w:val="18"/>
                      <w:szCs w:val="18"/>
                      <w:highlight w:val="none"/>
                    </w:rPr>
                    <w:t>烧结普通砖、烧结多孔砖</w:t>
                  </w:r>
                </w:p>
              </w:tc>
              <w:tc>
                <w:tcPr>
                  <w:tcW w:w="709" w:type="dxa"/>
                  <w:tcBorders>
                    <w:top w:val="single" w:color="auto" w:sz="4" w:space="0"/>
                  </w:tcBorders>
                  <w:noWrap w:val="0"/>
                  <w:vAlign w:val="center"/>
                </w:tcPr>
                <w:p w14:paraId="2A27A923">
                  <w:pPr>
                    <w:jc w:val="center"/>
                    <w:rPr>
                      <w:b w:val="0"/>
                      <w:bCs/>
                      <w:color w:val="auto"/>
                      <w:sz w:val="18"/>
                      <w:szCs w:val="18"/>
                      <w:highlight w:val="none"/>
                    </w:rPr>
                  </w:pPr>
                  <w:r>
                    <w:rPr>
                      <w:b w:val="0"/>
                      <w:bCs/>
                      <w:color w:val="auto"/>
                      <w:sz w:val="18"/>
                      <w:szCs w:val="18"/>
                      <w:highlight w:val="none"/>
                    </w:rPr>
                    <w:t>MU10</w:t>
                  </w:r>
                </w:p>
              </w:tc>
              <w:tc>
                <w:tcPr>
                  <w:tcW w:w="1904" w:type="dxa"/>
                  <w:vMerge w:val="restart"/>
                  <w:tcBorders>
                    <w:top w:val="single" w:color="auto" w:sz="4" w:space="0"/>
                  </w:tcBorders>
                  <w:noWrap w:val="0"/>
                  <w:vAlign w:val="center"/>
                </w:tcPr>
                <w:p w14:paraId="6C34054A">
                  <w:pPr>
                    <w:rPr>
                      <w:b w:val="0"/>
                      <w:bCs/>
                      <w:color w:val="auto"/>
                      <w:sz w:val="18"/>
                      <w:szCs w:val="18"/>
                      <w:highlight w:val="none"/>
                    </w:rPr>
                  </w:pPr>
                  <w:r>
                    <w:rPr>
                      <w:b w:val="0"/>
                      <w:bCs/>
                      <w:color w:val="auto"/>
                      <w:sz w:val="18"/>
                      <w:szCs w:val="18"/>
                      <w:highlight w:val="none"/>
                    </w:rPr>
                    <w:t xml:space="preserve">    用于外墙及潮湿环境的内墙时，强度应提高一个等级</w:t>
                  </w:r>
                </w:p>
              </w:tc>
            </w:tr>
            <w:tr w14:paraId="11929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477" w:type="dxa"/>
                  <w:vMerge w:val="continue"/>
                  <w:noWrap w:val="0"/>
                  <w:vAlign w:val="center"/>
                </w:tcPr>
                <w:p w14:paraId="0E657ABB">
                  <w:pPr>
                    <w:jc w:val="center"/>
                    <w:rPr>
                      <w:b w:val="0"/>
                      <w:bCs/>
                      <w:color w:val="auto"/>
                      <w:sz w:val="18"/>
                      <w:szCs w:val="18"/>
                      <w:highlight w:val="none"/>
                    </w:rPr>
                  </w:pPr>
                </w:p>
              </w:tc>
              <w:tc>
                <w:tcPr>
                  <w:tcW w:w="1241" w:type="dxa"/>
                  <w:noWrap w:val="0"/>
                  <w:vAlign w:val="center"/>
                </w:tcPr>
                <w:p w14:paraId="072AE4B4">
                  <w:pPr>
                    <w:rPr>
                      <w:b w:val="0"/>
                      <w:bCs/>
                      <w:color w:val="auto"/>
                      <w:sz w:val="18"/>
                      <w:szCs w:val="18"/>
                      <w:highlight w:val="none"/>
                    </w:rPr>
                  </w:pPr>
                  <w:r>
                    <w:rPr>
                      <w:b w:val="0"/>
                      <w:bCs/>
                      <w:color w:val="auto"/>
                      <w:sz w:val="18"/>
                      <w:szCs w:val="18"/>
                      <w:highlight w:val="none"/>
                    </w:rPr>
                    <w:t xml:space="preserve"> 蒸压普通砖、混凝土砖</w:t>
                  </w:r>
                </w:p>
              </w:tc>
              <w:tc>
                <w:tcPr>
                  <w:tcW w:w="709" w:type="dxa"/>
                  <w:noWrap w:val="0"/>
                  <w:vAlign w:val="center"/>
                </w:tcPr>
                <w:p w14:paraId="32F611F0">
                  <w:pPr>
                    <w:jc w:val="center"/>
                    <w:rPr>
                      <w:b w:val="0"/>
                      <w:bCs/>
                      <w:color w:val="auto"/>
                      <w:sz w:val="18"/>
                      <w:szCs w:val="18"/>
                      <w:highlight w:val="none"/>
                    </w:rPr>
                  </w:pPr>
                  <w:r>
                    <w:rPr>
                      <w:b w:val="0"/>
                      <w:bCs/>
                      <w:color w:val="auto"/>
                      <w:sz w:val="18"/>
                      <w:szCs w:val="18"/>
                      <w:highlight w:val="none"/>
                    </w:rPr>
                    <w:t>MU15</w:t>
                  </w:r>
                </w:p>
              </w:tc>
              <w:tc>
                <w:tcPr>
                  <w:tcW w:w="1904" w:type="dxa"/>
                  <w:vMerge w:val="continue"/>
                  <w:noWrap w:val="0"/>
                  <w:vAlign w:val="center"/>
                </w:tcPr>
                <w:p w14:paraId="7F95AE71">
                  <w:pPr>
                    <w:jc w:val="center"/>
                    <w:rPr>
                      <w:b w:val="0"/>
                      <w:bCs/>
                      <w:color w:val="auto"/>
                      <w:sz w:val="18"/>
                      <w:szCs w:val="18"/>
                      <w:highlight w:val="none"/>
                    </w:rPr>
                  </w:pPr>
                </w:p>
              </w:tc>
            </w:tr>
            <w:tr w14:paraId="1CA85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7" w:type="dxa"/>
                  <w:vMerge w:val="continue"/>
                  <w:noWrap w:val="0"/>
                  <w:vAlign w:val="center"/>
                </w:tcPr>
                <w:p w14:paraId="73EEE12F">
                  <w:pPr>
                    <w:jc w:val="center"/>
                    <w:rPr>
                      <w:b w:val="0"/>
                      <w:bCs/>
                      <w:color w:val="auto"/>
                      <w:sz w:val="18"/>
                      <w:szCs w:val="18"/>
                      <w:highlight w:val="none"/>
                    </w:rPr>
                  </w:pPr>
                </w:p>
              </w:tc>
              <w:tc>
                <w:tcPr>
                  <w:tcW w:w="1241" w:type="dxa"/>
                  <w:noWrap w:val="0"/>
                  <w:vAlign w:val="center"/>
                </w:tcPr>
                <w:p w14:paraId="0E20E23D">
                  <w:pPr>
                    <w:jc w:val="center"/>
                    <w:rPr>
                      <w:b w:val="0"/>
                      <w:bCs/>
                      <w:color w:val="auto"/>
                      <w:sz w:val="18"/>
                      <w:szCs w:val="18"/>
                      <w:highlight w:val="none"/>
                    </w:rPr>
                  </w:pPr>
                  <w:r>
                    <w:rPr>
                      <w:b w:val="0"/>
                      <w:bCs/>
                      <w:color w:val="auto"/>
                      <w:sz w:val="18"/>
                      <w:szCs w:val="18"/>
                      <w:highlight w:val="none"/>
                    </w:rPr>
                    <w:t>普通、轻骨料混凝土小型空心砌块</w:t>
                  </w:r>
                </w:p>
              </w:tc>
              <w:tc>
                <w:tcPr>
                  <w:tcW w:w="709" w:type="dxa"/>
                  <w:noWrap w:val="0"/>
                  <w:vAlign w:val="center"/>
                </w:tcPr>
                <w:p w14:paraId="1A60402F">
                  <w:pPr>
                    <w:jc w:val="center"/>
                    <w:rPr>
                      <w:b w:val="0"/>
                      <w:bCs/>
                      <w:color w:val="auto"/>
                      <w:sz w:val="18"/>
                      <w:szCs w:val="18"/>
                      <w:highlight w:val="none"/>
                    </w:rPr>
                  </w:pPr>
                  <w:r>
                    <w:rPr>
                      <w:b w:val="0"/>
                      <w:bCs/>
                      <w:color w:val="auto"/>
                      <w:sz w:val="18"/>
                      <w:szCs w:val="18"/>
                      <w:highlight w:val="none"/>
                    </w:rPr>
                    <w:t>MU7.5</w:t>
                  </w:r>
                </w:p>
              </w:tc>
              <w:tc>
                <w:tcPr>
                  <w:tcW w:w="1904" w:type="dxa"/>
                  <w:noWrap w:val="0"/>
                  <w:vAlign w:val="center"/>
                </w:tcPr>
                <w:p w14:paraId="2007426F">
                  <w:pPr>
                    <w:ind w:firstLine="360" w:firstLineChars="200"/>
                    <w:rPr>
                      <w:rFonts w:hint="eastAsia" w:eastAsia="宋体"/>
                      <w:b w:val="0"/>
                      <w:bCs/>
                      <w:color w:val="auto"/>
                      <w:sz w:val="18"/>
                      <w:szCs w:val="18"/>
                      <w:highlight w:val="none"/>
                      <w:lang w:val="en-US" w:eastAsia="zh-CN"/>
                    </w:rPr>
                  </w:pPr>
                  <w:r>
                    <w:rPr>
                      <w:b w:val="0"/>
                      <w:bCs/>
                      <w:color w:val="auto"/>
                      <w:sz w:val="18"/>
                      <w:szCs w:val="18"/>
                      <w:highlight w:val="none"/>
                    </w:rPr>
                    <w:t>以粉煤灰做掺合料时，粉煤灰的品质、取代水泥最大限量和掺量应符合国家现行标准《用于水泥和混凝土中的粉煤灰》GB/T 1596、《粉煤灰混凝上应用技术规范》GBJ 146</w:t>
                  </w:r>
                  <w:r>
                    <w:rPr>
                      <w:rFonts w:hint="eastAsia"/>
                      <w:b w:val="0"/>
                      <w:bCs/>
                      <w:color w:val="auto"/>
                      <w:sz w:val="18"/>
                      <w:szCs w:val="18"/>
                      <w:highlight w:val="none"/>
                      <w:lang w:val="en-US" w:eastAsia="zh-CN"/>
                    </w:rPr>
                    <w:t xml:space="preserve"> </w:t>
                  </w:r>
                  <w:r>
                    <w:rPr>
                      <w:b w:val="0"/>
                      <w:bCs/>
                      <w:color w:val="auto"/>
                      <w:sz w:val="18"/>
                      <w:szCs w:val="18"/>
                      <w:highlight w:val="none"/>
                    </w:rPr>
                    <w:t>和《粉煤灰在混凝土和砂浆中应用技术规程》JGJ 28的有关规定</w:t>
                  </w:r>
                </w:p>
              </w:tc>
            </w:tr>
            <w:tr w14:paraId="24237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7" w:type="dxa"/>
                  <w:vMerge w:val="continue"/>
                  <w:noWrap w:val="0"/>
                  <w:vAlign w:val="center"/>
                </w:tcPr>
                <w:p w14:paraId="21D181EF">
                  <w:pPr>
                    <w:jc w:val="center"/>
                    <w:rPr>
                      <w:b w:val="0"/>
                      <w:bCs/>
                      <w:color w:val="auto"/>
                      <w:sz w:val="18"/>
                      <w:szCs w:val="18"/>
                      <w:highlight w:val="none"/>
                    </w:rPr>
                  </w:pPr>
                </w:p>
              </w:tc>
              <w:tc>
                <w:tcPr>
                  <w:tcW w:w="1241" w:type="dxa"/>
                  <w:noWrap w:val="0"/>
                  <w:vAlign w:val="center"/>
                </w:tcPr>
                <w:p w14:paraId="57703254">
                  <w:pPr>
                    <w:jc w:val="center"/>
                    <w:rPr>
                      <w:b w:val="0"/>
                      <w:bCs/>
                      <w:color w:val="auto"/>
                      <w:sz w:val="18"/>
                      <w:szCs w:val="18"/>
                      <w:highlight w:val="none"/>
                    </w:rPr>
                  </w:pPr>
                  <w:r>
                    <w:rPr>
                      <w:b w:val="0"/>
                      <w:bCs/>
                      <w:color w:val="auto"/>
                      <w:sz w:val="18"/>
                      <w:szCs w:val="18"/>
                      <w:highlight w:val="none"/>
                    </w:rPr>
                    <w:t>蒸压加气混凝土砌块</w:t>
                  </w:r>
                </w:p>
              </w:tc>
              <w:tc>
                <w:tcPr>
                  <w:tcW w:w="709" w:type="dxa"/>
                  <w:noWrap w:val="0"/>
                  <w:vAlign w:val="center"/>
                </w:tcPr>
                <w:p w14:paraId="64066286">
                  <w:pPr>
                    <w:jc w:val="center"/>
                    <w:rPr>
                      <w:b w:val="0"/>
                      <w:bCs/>
                      <w:color w:val="auto"/>
                      <w:sz w:val="18"/>
                      <w:szCs w:val="18"/>
                      <w:highlight w:val="none"/>
                    </w:rPr>
                  </w:pPr>
                  <w:r>
                    <w:rPr>
                      <w:b w:val="0"/>
                      <w:bCs/>
                      <w:color w:val="auto"/>
                      <w:sz w:val="18"/>
                      <w:szCs w:val="18"/>
                      <w:highlight w:val="none"/>
                    </w:rPr>
                    <w:t>A5.0</w:t>
                  </w:r>
                </w:p>
              </w:tc>
              <w:tc>
                <w:tcPr>
                  <w:tcW w:w="1904" w:type="dxa"/>
                  <w:noWrap w:val="0"/>
                  <w:vAlign w:val="center"/>
                </w:tcPr>
                <w:p w14:paraId="4615E738">
                  <w:pPr>
                    <w:jc w:val="center"/>
                    <w:rPr>
                      <w:b w:val="0"/>
                      <w:bCs/>
                      <w:color w:val="auto"/>
                      <w:sz w:val="18"/>
                      <w:szCs w:val="18"/>
                      <w:highlight w:val="none"/>
                    </w:rPr>
                  </w:pPr>
                </w:p>
              </w:tc>
            </w:tr>
            <w:tr w14:paraId="20BB9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7" w:type="dxa"/>
                  <w:vMerge w:val="restart"/>
                  <w:noWrap w:val="0"/>
                  <w:vAlign w:val="center"/>
                </w:tcPr>
                <w:p w14:paraId="6C13EDEC">
                  <w:pPr>
                    <w:jc w:val="center"/>
                    <w:rPr>
                      <w:b w:val="0"/>
                      <w:bCs/>
                      <w:color w:val="auto"/>
                      <w:sz w:val="18"/>
                      <w:szCs w:val="18"/>
                      <w:highlight w:val="none"/>
                      <w:bdr w:val="single" w:color="000000" w:sz="4" w:space="0"/>
                    </w:rPr>
                  </w:pPr>
                  <w:r>
                    <w:rPr>
                      <w:b w:val="0"/>
                      <w:bCs/>
                      <w:color w:val="auto"/>
                      <w:sz w:val="18"/>
                      <w:szCs w:val="18"/>
                      <w:highlight w:val="none"/>
                    </w:rPr>
                    <w:t>自承重墙</w:t>
                  </w:r>
                </w:p>
                <w:p w14:paraId="66B21047">
                  <w:pPr>
                    <w:jc w:val="center"/>
                    <w:rPr>
                      <w:b w:val="0"/>
                      <w:bCs/>
                      <w:color w:val="auto"/>
                      <w:sz w:val="18"/>
                      <w:szCs w:val="18"/>
                      <w:highlight w:val="none"/>
                    </w:rPr>
                  </w:pPr>
                </w:p>
              </w:tc>
              <w:tc>
                <w:tcPr>
                  <w:tcW w:w="1241" w:type="dxa"/>
                  <w:noWrap w:val="0"/>
                  <w:vAlign w:val="center"/>
                </w:tcPr>
                <w:p w14:paraId="383F7979">
                  <w:pPr>
                    <w:jc w:val="center"/>
                    <w:rPr>
                      <w:b w:val="0"/>
                      <w:bCs/>
                      <w:color w:val="auto"/>
                      <w:sz w:val="18"/>
                      <w:szCs w:val="18"/>
                      <w:highlight w:val="none"/>
                    </w:rPr>
                  </w:pPr>
                  <w:r>
                    <w:rPr>
                      <w:b w:val="0"/>
                      <w:bCs/>
                      <w:color w:val="auto"/>
                      <w:sz w:val="18"/>
                      <w:szCs w:val="18"/>
                      <w:highlight w:val="none"/>
                    </w:rPr>
                    <w:t>轻骨料混凝土小型空心砌块</w:t>
                  </w:r>
                </w:p>
              </w:tc>
              <w:tc>
                <w:tcPr>
                  <w:tcW w:w="709" w:type="dxa"/>
                  <w:noWrap w:val="0"/>
                  <w:vAlign w:val="center"/>
                </w:tcPr>
                <w:p w14:paraId="633EC7A5">
                  <w:pPr>
                    <w:jc w:val="center"/>
                    <w:rPr>
                      <w:b w:val="0"/>
                      <w:bCs/>
                      <w:color w:val="auto"/>
                      <w:sz w:val="18"/>
                      <w:szCs w:val="18"/>
                      <w:highlight w:val="none"/>
                    </w:rPr>
                  </w:pPr>
                  <w:r>
                    <w:rPr>
                      <w:b w:val="0"/>
                      <w:bCs/>
                      <w:color w:val="auto"/>
                      <w:sz w:val="18"/>
                      <w:szCs w:val="18"/>
                      <w:highlight w:val="none"/>
                    </w:rPr>
                    <w:t>MU3.5</w:t>
                  </w:r>
                </w:p>
              </w:tc>
              <w:tc>
                <w:tcPr>
                  <w:tcW w:w="1904" w:type="dxa"/>
                  <w:noWrap w:val="0"/>
                  <w:vAlign w:val="center"/>
                </w:tcPr>
                <w:p w14:paraId="37E390AA">
                  <w:pPr>
                    <w:keepNext w:val="0"/>
                    <w:keepLines w:val="0"/>
                    <w:pageBreakBefore w:val="0"/>
                    <w:widowControl w:val="0"/>
                    <w:kinsoku/>
                    <w:wordWrap/>
                    <w:overflowPunct/>
                    <w:topLinePunct w:val="0"/>
                    <w:autoSpaceDE/>
                    <w:autoSpaceDN/>
                    <w:bidi w:val="0"/>
                    <w:adjustRightInd/>
                    <w:snapToGrid/>
                    <w:ind w:firstLine="360" w:firstLineChars="200"/>
                    <w:jc w:val="both"/>
                    <w:textAlignment w:val="auto"/>
                    <w:rPr>
                      <w:b w:val="0"/>
                      <w:bCs/>
                      <w:color w:val="auto"/>
                      <w:sz w:val="18"/>
                      <w:szCs w:val="18"/>
                      <w:highlight w:val="none"/>
                    </w:rPr>
                  </w:pPr>
                  <w:r>
                    <w:rPr>
                      <w:b w:val="0"/>
                      <w:bCs/>
                      <w:color w:val="auto"/>
                      <w:sz w:val="18"/>
                      <w:szCs w:val="18"/>
                      <w:highlight w:val="none"/>
                    </w:rPr>
                    <w:t>用于外墙及潮湿环境的内墙时，强等级不应低于MU5.0。全烧结陶粒保温砌块用于内墙，其强度等级不应低于MU2.5</w:t>
                  </w:r>
                  <w:r>
                    <w:rPr>
                      <w:rFonts w:hint="eastAsia"/>
                      <w:b w:val="0"/>
                      <w:bCs/>
                      <w:color w:val="auto"/>
                      <w:sz w:val="18"/>
                      <w:szCs w:val="18"/>
                      <w:highlight w:val="none"/>
                      <w:lang w:eastAsia="zh-CN"/>
                    </w:rPr>
                    <w:t>、</w:t>
                  </w:r>
                  <w:r>
                    <w:rPr>
                      <w:b w:val="0"/>
                      <w:bCs/>
                      <w:color w:val="auto"/>
                      <w:sz w:val="18"/>
                      <w:szCs w:val="18"/>
                      <w:highlight w:val="none"/>
                    </w:rPr>
                    <w:t>密度不应大于800kg/m</w:t>
                  </w:r>
                  <w:r>
                    <w:rPr>
                      <w:rFonts w:hint="eastAsia"/>
                      <w:b w:val="0"/>
                      <w:bCs/>
                      <w:color w:val="auto"/>
                      <w:sz w:val="18"/>
                      <w:szCs w:val="18"/>
                      <w:highlight w:val="none"/>
                      <w:vertAlign w:val="superscript"/>
                      <w:lang w:val="en-US" w:eastAsia="zh-CN"/>
                    </w:rPr>
                    <w:t>3</w:t>
                  </w:r>
                </w:p>
              </w:tc>
            </w:tr>
            <w:tr w14:paraId="02671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7" w:type="dxa"/>
                  <w:vMerge w:val="continue"/>
                  <w:noWrap w:val="0"/>
                  <w:vAlign w:val="center"/>
                </w:tcPr>
                <w:p w14:paraId="7368C433">
                  <w:pPr>
                    <w:jc w:val="center"/>
                    <w:rPr>
                      <w:b w:val="0"/>
                      <w:bCs/>
                      <w:color w:val="auto"/>
                      <w:sz w:val="18"/>
                      <w:szCs w:val="18"/>
                      <w:highlight w:val="none"/>
                    </w:rPr>
                  </w:pPr>
                </w:p>
              </w:tc>
              <w:tc>
                <w:tcPr>
                  <w:tcW w:w="1241" w:type="dxa"/>
                  <w:noWrap w:val="0"/>
                  <w:vAlign w:val="center"/>
                </w:tcPr>
                <w:p w14:paraId="3851E813">
                  <w:pPr>
                    <w:jc w:val="center"/>
                    <w:rPr>
                      <w:b w:val="0"/>
                      <w:bCs/>
                      <w:color w:val="auto"/>
                      <w:sz w:val="18"/>
                      <w:szCs w:val="18"/>
                      <w:highlight w:val="none"/>
                    </w:rPr>
                  </w:pPr>
                  <w:r>
                    <w:rPr>
                      <w:b w:val="0"/>
                      <w:bCs/>
                      <w:color w:val="auto"/>
                      <w:sz w:val="18"/>
                      <w:szCs w:val="18"/>
                      <w:highlight w:val="none"/>
                    </w:rPr>
                    <w:t>蒸压加气混凝土砌块</w:t>
                  </w:r>
                </w:p>
              </w:tc>
              <w:tc>
                <w:tcPr>
                  <w:tcW w:w="709" w:type="dxa"/>
                  <w:noWrap w:val="0"/>
                  <w:vAlign w:val="center"/>
                </w:tcPr>
                <w:p w14:paraId="22E32DD0">
                  <w:pPr>
                    <w:jc w:val="center"/>
                    <w:rPr>
                      <w:b w:val="0"/>
                      <w:bCs/>
                      <w:color w:val="auto"/>
                      <w:sz w:val="18"/>
                      <w:szCs w:val="18"/>
                      <w:highlight w:val="none"/>
                    </w:rPr>
                  </w:pPr>
                  <w:r>
                    <w:rPr>
                      <w:b w:val="0"/>
                      <w:bCs/>
                      <w:color w:val="auto"/>
                      <w:sz w:val="18"/>
                      <w:szCs w:val="18"/>
                      <w:highlight w:val="none"/>
                    </w:rPr>
                    <w:t>A2.5</w:t>
                  </w:r>
                </w:p>
              </w:tc>
              <w:tc>
                <w:tcPr>
                  <w:tcW w:w="1904" w:type="dxa"/>
                  <w:noWrap w:val="0"/>
                  <w:vAlign w:val="center"/>
                </w:tcPr>
                <w:p w14:paraId="19573BDB">
                  <w:pPr>
                    <w:ind w:firstLine="360" w:firstLineChars="200"/>
                    <w:rPr>
                      <w:b w:val="0"/>
                      <w:bCs/>
                      <w:color w:val="auto"/>
                      <w:sz w:val="18"/>
                      <w:szCs w:val="18"/>
                      <w:highlight w:val="none"/>
                    </w:rPr>
                  </w:pPr>
                  <w:r>
                    <w:rPr>
                      <w:b w:val="0"/>
                      <w:bCs/>
                      <w:color w:val="auto"/>
                      <w:sz w:val="18"/>
                      <w:szCs w:val="18"/>
                      <w:highlight w:val="none"/>
                    </w:rPr>
                    <w:t>用于外墙时，强度等级不应低于A3.5</w:t>
                  </w:r>
                </w:p>
              </w:tc>
            </w:tr>
            <w:tr w14:paraId="188D5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7" w:type="dxa"/>
                  <w:vMerge w:val="continue"/>
                  <w:noWrap w:val="0"/>
                  <w:vAlign w:val="center"/>
                </w:tcPr>
                <w:p w14:paraId="1D9DD2EE">
                  <w:pPr>
                    <w:jc w:val="center"/>
                    <w:rPr>
                      <w:b w:val="0"/>
                      <w:bCs/>
                      <w:color w:val="auto"/>
                      <w:sz w:val="18"/>
                      <w:szCs w:val="18"/>
                      <w:highlight w:val="none"/>
                    </w:rPr>
                  </w:pPr>
                </w:p>
              </w:tc>
              <w:tc>
                <w:tcPr>
                  <w:tcW w:w="1241" w:type="dxa"/>
                  <w:noWrap w:val="0"/>
                  <w:vAlign w:val="center"/>
                </w:tcPr>
                <w:p w14:paraId="6D2EC13F">
                  <w:pPr>
                    <w:jc w:val="center"/>
                    <w:rPr>
                      <w:b w:val="0"/>
                      <w:bCs/>
                      <w:color w:val="auto"/>
                      <w:sz w:val="18"/>
                      <w:szCs w:val="18"/>
                      <w:highlight w:val="none"/>
                    </w:rPr>
                  </w:pPr>
                  <w:r>
                    <w:rPr>
                      <w:b w:val="0"/>
                      <w:bCs/>
                      <w:color w:val="auto"/>
                      <w:sz w:val="18"/>
                      <w:szCs w:val="18"/>
                      <w:highlight w:val="none"/>
                    </w:rPr>
                    <w:t>烧结空心砖和空心砌 块、石膏砌块</w:t>
                  </w:r>
                </w:p>
              </w:tc>
              <w:tc>
                <w:tcPr>
                  <w:tcW w:w="709" w:type="dxa"/>
                  <w:noWrap w:val="0"/>
                  <w:vAlign w:val="center"/>
                </w:tcPr>
                <w:p w14:paraId="23C4F8E9">
                  <w:pPr>
                    <w:jc w:val="center"/>
                    <w:rPr>
                      <w:b w:val="0"/>
                      <w:bCs/>
                      <w:color w:val="auto"/>
                      <w:sz w:val="18"/>
                      <w:szCs w:val="18"/>
                      <w:highlight w:val="none"/>
                    </w:rPr>
                  </w:pPr>
                  <w:r>
                    <w:rPr>
                      <w:b w:val="0"/>
                      <w:bCs/>
                      <w:color w:val="auto"/>
                      <w:sz w:val="18"/>
                      <w:szCs w:val="18"/>
                      <w:highlight w:val="none"/>
                    </w:rPr>
                    <w:t>MU3.5</w:t>
                  </w:r>
                </w:p>
              </w:tc>
              <w:tc>
                <w:tcPr>
                  <w:tcW w:w="1904" w:type="dxa"/>
                  <w:noWrap w:val="0"/>
                  <w:vAlign w:val="center"/>
                </w:tcPr>
                <w:p w14:paraId="3A1A2E26">
                  <w:pPr>
                    <w:rPr>
                      <w:b w:val="0"/>
                      <w:bCs/>
                      <w:color w:val="auto"/>
                      <w:sz w:val="18"/>
                      <w:szCs w:val="18"/>
                      <w:highlight w:val="none"/>
                    </w:rPr>
                  </w:pPr>
                  <w:r>
                    <w:rPr>
                      <w:b w:val="0"/>
                      <w:bCs/>
                      <w:color w:val="auto"/>
                      <w:sz w:val="18"/>
                      <w:szCs w:val="18"/>
                      <w:highlight w:val="none"/>
                    </w:rPr>
                    <w:t xml:space="preserve">    用于外墙及潮湿环境的内墙时，强度等级不应低于MU5.0</w:t>
                  </w:r>
                </w:p>
              </w:tc>
            </w:tr>
          </w:tbl>
          <w:p w14:paraId="4145004B">
            <w:pPr>
              <w:ind w:firstLine="360" w:firstLineChars="200"/>
              <w:rPr>
                <w:b w:val="0"/>
                <w:bCs/>
                <w:color w:val="auto"/>
                <w:sz w:val="18"/>
                <w:szCs w:val="18"/>
                <w:highlight w:val="none"/>
              </w:rPr>
            </w:pPr>
            <w:r>
              <w:rPr>
                <w:b w:val="0"/>
                <w:bCs/>
                <w:color w:val="auto"/>
                <w:sz w:val="18"/>
                <w:szCs w:val="18"/>
                <w:highlight w:val="none"/>
              </w:rPr>
              <w:t>注：1   防潮层以下</w:t>
            </w:r>
            <w:r>
              <w:rPr>
                <w:rFonts w:hint="eastAsia"/>
                <w:b w:val="0"/>
                <w:bCs/>
                <w:color w:val="auto"/>
                <w:sz w:val="18"/>
                <w:szCs w:val="18"/>
                <w:highlight w:val="none"/>
                <w:lang w:val="en-US" w:eastAsia="zh-CN"/>
              </w:rPr>
              <w:t>应</w:t>
            </w:r>
            <w:r>
              <w:rPr>
                <w:b w:val="0"/>
                <w:bCs/>
                <w:color w:val="auto"/>
                <w:sz w:val="18"/>
                <w:szCs w:val="18"/>
                <w:highlight w:val="none"/>
              </w:rPr>
              <w:t>采用实心砖或预先将孔灌实的多孔砖（空心砌块）；</w:t>
            </w:r>
          </w:p>
          <w:p w14:paraId="3A23BA3C">
            <w:pPr>
              <w:widowControl/>
              <w:snapToGrid w:val="0"/>
              <w:ind w:left="1"/>
              <w:outlineLvl w:val="9"/>
              <w:rPr>
                <w:rFonts w:ascii="Times New Roman" w:hAnsi="Times New Roman"/>
                <w:b/>
                <w:bCs/>
                <w:szCs w:val="21"/>
              </w:rPr>
            </w:pPr>
            <w:r>
              <w:rPr>
                <w:b w:val="0"/>
                <w:bCs/>
                <w:color w:val="auto"/>
                <w:sz w:val="18"/>
                <w:szCs w:val="18"/>
                <w:highlight w:val="none"/>
              </w:rPr>
              <w:t xml:space="preserve">        2   水平孔块体材料不得用于承重砌体。</w:t>
            </w:r>
          </w:p>
        </w:tc>
        <w:tc>
          <w:tcPr>
            <w:tcW w:w="4716" w:type="dxa"/>
            <w:vAlign w:val="center"/>
          </w:tcPr>
          <w:p w14:paraId="1301C6D2">
            <w:pPr>
              <w:outlineLvl w:val="9"/>
              <w:rPr>
                <w:b/>
                <w:bCs w:val="0"/>
                <w:color w:val="auto"/>
                <w:highlight w:val="none"/>
                <w:bdr w:val="single" w:color="000000" w:sz="0" w:space="0"/>
              </w:rPr>
            </w:pPr>
            <w:r>
              <w:rPr>
                <w:b/>
                <w:bCs w:val="0"/>
                <w:color w:val="auto"/>
                <w:highlight w:val="none"/>
                <w:bdr w:val="single" w:color="000000" w:sz="0" w:space="0"/>
              </w:rPr>
              <w:t xml:space="preserve">3.2.2  </w:t>
            </w:r>
            <w:r>
              <w:rPr>
                <w:rFonts w:hint="eastAsia" w:ascii="黑体" w:hAnsi="黑体" w:eastAsia="黑体" w:cs="黑体"/>
                <w:b/>
                <w:bCs w:val="0"/>
                <w:color w:val="auto"/>
                <w:highlight w:val="none"/>
                <w:bdr w:val="single" w:color="000000" w:sz="0" w:space="0"/>
              </w:rPr>
              <w:t>块体</w:t>
            </w:r>
            <w:r>
              <w:rPr>
                <w:rFonts w:hint="eastAsia" w:ascii="黑体" w:hAnsi="黑体" w:eastAsia="黑体" w:cs="黑体"/>
                <w:b/>
                <w:bCs w:val="0"/>
                <w:color w:val="auto"/>
                <w:highlight w:val="none"/>
                <w:bdr w:val="single" w:color="000000" w:sz="0" w:space="0"/>
                <w:lang w:val="en-US" w:eastAsia="zh-CN"/>
              </w:rPr>
              <w:t>材料</w:t>
            </w:r>
            <w:r>
              <w:rPr>
                <w:rFonts w:hint="eastAsia" w:ascii="黑体" w:hAnsi="黑体" w:eastAsia="黑体" w:cs="黑体"/>
                <w:b/>
                <w:bCs w:val="0"/>
                <w:color w:val="auto"/>
                <w:highlight w:val="none"/>
                <w:bdr w:val="single" w:color="000000" w:sz="0" w:space="0"/>
              </w:rPr>
              <w:t>强度等级应符合下列规定：</w:t>
            </w:r>
          </w:p>
          <w:p w14:paraId="4B9C5A27">
            <w:pPr>
              <w:outlineLvl w:val="9"/>
              <w:rPr>
                <w:color w:val="auto"/>
                <w:highlight w:val="none"/>
              </w:rPr>
            </w:pPr>
            <w:r>
              <w:rPr>
                <w:b/>
                <w:color w:val="auto"/>
                <w:highlight w:val="none"/>
                <w:u w:val="single"/>
              </w:rPr>
              <w:t>3.2.2</w:t>
            </w:r>
            <w:r>
              <w:rPr>
                <w:rFonts w:hint="eastAsia"/>
                <w:b/>
                <w:bCs/>
                <w:color w:val="auto"/>
                <w:highlight w:val="none"/>
                <w:u w:val="single"/>
              </w:rPr>
              <w:t>A</w:t>
            </w:r>
            <w:r>
              <w:rPr>
                <w:b/>
                <w:color w:val="auto"/>
                <w:highlight w:val="none"/>
              </w:rPr>
              <w:t xml:space="preserve"> </w:t>
            </w:r>
            <w:r>
              <w:rPr>
                <w:color w:val="auto"/>
                <w:highlight w:val="none"/>
                <w:u w:val="single"/>
              </w:rPr>
              <w:t>块体</w:t>
            </w:r>
            <w:r>
              <w:rPr>
                <w:rFonts w:hint="eastAsia"/>
                <w:color w:val="auto"/>
                <w:highlight w:val="none"/>
                <w:u w:val="single"/>
                <w:lang w:val="en-US" w:eastAsia="zh-CN"/>
              </w:rPr>
              <w:t>材料</w:t>
            </w:r>
            <w:r>
              <w:rPr>
                <w:color w:val="auto"/>
                <w:highlight w:val="none"/>
                <w:u w:val="single"/>
              </w:rPr>
              <w:t>强度等级应符合下列规定</w:t>
            </w:r>
            <w:r>
              <w:rPr>
                <w:color w:val="auto"/>
                <w:highlight w:val="none"/>
              </w:rPr>
              <w:t>：</w:t>
            </w:r>
          </w:p>
          <w:p w14:paraId="5F35ECF5">
            <w:pPr>
              <w:ind w:firstLine="417" w:firstLineChars="198"/>
              <w:rPr>
                <w:color w:val="auto"/>
                <w:highlight w:val="none"/>
              </w:rPr>
            </w:pPr>
            <w:r>
              <w:rPr>
                <w:b/>
                <w:bCs w:val="0"/>
                <w:color w:val="auto"/>
                <w:highlight w:val="none"/>
                <w:bdr w:val="single" w:color="000000" w:sz="0" w:space="0"/>
              </w:rPr>
              <w:t xml:space="preserve">1  </w:t>
            </w:r>
            <w:r>
              <w:rPr>
                <w:rFonts w:hint="eastAsia" w:ascii="黑体" w:hAnsi="黑体" w:eastAsia="黑体" w:cs="黑体"/>
                <w:b/>
                <w:bCs w:val="0"/>
                <w:color w:val="auto"/>
                <w:highlight w:val="none"/>
                <w:bdr w:val="single" w:color="000000" w:sz="0" w:space="0"/>
              </w:rPr>
              <w:t>产品标准除应给出抗压强度等级外，尚应给出其变异系数</w:t>
            </w:r>
            <w:r>
              <w:rPr>
                <w:rFonts w:hint="eastAsia" w:ascii="黑体" w:hAnsi="黑体" w:eastAsia="黑体" w:cs="黑体"/>
                <w:b/>
                <w:bCs w:val="0"/>
                <w:color w:val="auto"/>
                <w:highlight w:val="none"/>
                <w:bdr w:val="single" w:color="000000" w:sz="0" w:space="0"/>
                <w:lang w:val="en-US" w:eastAsia="zh-CN"/>
              </w:rPr>
              <w:t>的限值</w:t>
            </w:r>
            <w:r>
              <w:rPr>
                <w:rFonts w:hint="eastAsia" w:ascii="黑体" w:hAnsi="黑体" w:eastAsia="黑体" w:cs="黑体"/>
                <w:b/>
                <w:color w:val="auto"/>
                <w:highlight w:val="none"/>
                <w:bdr w:val="single" w:color="000000" w:sz="0" w:space="0"/>
              </w:rPr>
              <w:t>；</w:t>
            </w:r>
          </w:p>
          <w:p w14:paraId="21E2B5EE">
            <w:pPr>
              <w:ind w:firstLine="417" w:firstLineChars="198"/>
              <w:rPr>
                <w:color w:val="auto"/>
                <w:highlight w:val="none"/>
              </w:rPr>
            </w:pPr>
            <w:r>
              <w:rPr>
                <w:b/>
                <w:color w:val="auto"/>
                <w:highlight w:val="none"/>
                <w:u w:val="single"/>
              </w:rPr>
              <w:t>1</w:t>
            </w:r>
            <w:r>
              <w:rPr>
                <w:b/>
                <w:color w:val="auto"/>
                <w:highlight w:val="none"/>
              </w:rPr>
              <w:t xml:space="preserve"> </w:t>
            </w:r>
            <w:r>
              <w:rPr>
                <w:color w:val="auto"/>
                <w:highlight w:val="none"/>
                <w:u w:val="single"/>
              </w:rPr>
              <w:t>产品标准除应给出抗压强度等级外，尚应给出其变异系数</w:t>
            </w:r>
            <w:r>
              <w:rPr>
                <w:rFonts w:hint="eastAsia"/>
                <w:color w:val="auto"/>
                <w:highlight w:val="none"/>
                <w:u w:val="single"/>
                <w:lang w:val="en-US" w:eastAsia="zh-CN"/>
              </w:rPr>
              <w:t>的限值</w:t>
            </w:r>
            <w:r>
              <w:rPr>
                <w:color w:val="auto"/>
                <w:highlight w:val="none"/>
                <w:u w:val="single"/>
              </w:rPr>
              <w:t>；</w:t>
            </w:r>
          </w:p>
          <w:p w14:paraId="60EAFB4B">
            <w:pPr>
              <w:ind w:firstLine="417" w:firstLineChars="198"/>
              <w:outlineLvl w:val="9"/>
              <w:rPr>
                <w:b/>
                <w:bCs w:val="0"/>
                <w:color w:val="auto"/>
                <w:highlight w:val="none"/>
                <w:bdr w:val="single" w:color="000000" w:sz="0" w:space="0"/>
              </w:rPr>
            </w:pPr>
            <w:r>
              <w:rPr>
                <w:b/>
                <w:bCs w:val="0"/>
                <w:color w:val="auto"/>
                <w:highlight w:val="none"/>
                <w:bdr w:val="single" w:color="000000" w:sz="0" w:space="0"/>
              </w:rPr>
              <w:t xml:space="preserve">2  </w:t>
            </w:r>
            <w:r>
              <w:rPr>
                <w:rFonts w:hint="eastAsia" w:ascii="黑体" w:hAnsi="黑体" w:eastAsia="黑体" w:cs="黑体"/>
                <w:b/>
                <w:bCs w:val="0"/>
                <w:color w:val="auto"/>
                <w:highlight w:val="none"/>
                <w:bdr w:val="single" w:color="000000" w:sz="0" w:space="0"/>
              </w:rPr>
              <w:t>承重砖的折压比不应小于表3.2.2-1的要求；</w:t>
            </w:r>
          </w:p>
          <w:p w14:paraId="0B5BFAC2">
            <w:pPr>
              <w:ind w:firstLine="417" w:firstLineChars="198"/>
              <w:outlineLvl w:val="9"/>
              <w:rPr>
                <w:b/>
                <w:color w:val="auto"/>
                <w:highlight w:val="none"/>
                <w:u w:val="single"/>
              </w:rPr>
            </w:pPr>
            <w:r>
              <w:rPr>
                <w:b/>
                <w:color w:val="auto"/>
                <w:highlight w:val="none"/>
                <w:u w:val="single"/>
              </w:rPr>
              <w:t>2</w:t>
            </w:r>
            <w:r>
              <w:rPr>
                <w:b/>
                <w:color w:val="auto"/>
                <w:highlight w:val="none"/>
              </w:rPr>
              <w:t xml:space="preserve"> </w:t>
            </w:r>
            <w:r>
              <w:rPr>
                <w:color w:val="auto"/>
                <w:highlight w:val="none"/>
                <w:u w:val="single"/>
              </w:rPr>
              <w:t>承重砖的折压比不应小于表3.2.2-1</w:t>
            </w:r>
            <w:r>
              <w:rPr>
                <w:rFonts w:hint="eastAsia"/>
                <w:color w:val="auto"/>
                <w:highlight w:val="none"/>
                <w:u w:val="single"/>
                <w:lang w:val="en-US" w:eastAsia="zh-CN"/>
              </w:rPr>
              <w:t>A</w:t>
            </w:r>
            <w:r>
              <w:rPr>
                <w:color w:val="auto"/>
                <w:highlight w:val="none"/>
                <w:u w:val="single"/>
              </w:rPr>
              <w:t>的要求；</w:t>
            </w:r>
          </w:p>
          <w:p w14:paraId="36360053">
            <w:pPr>
              <w:ind w:firstLine="358" w:firstLineChars="198"/>
              <w:jc w:val="center"/>
              <w:rPr>
                <w:rFonts w:hint="eastAsia" w:ascii="黑体" w:hAnsi="黑体" w:eastAsia="黑体" w:cs="黑体"/>
                <w:b/>
                <w:color w:val="auto"/>
                <w:kern w:val="0"/>
                <w:sz w:val="18"/>
                <w:szCs w:val="18"/>
                <w:highlight w:val="none"/>
                <w:bdr w:val="single" w:sz="0" w:space="0"/>
              </w:rPr>
            </w:pPr>
            <w:r>
              <w:rPr>
                <w:rFonts w:hint="eastAsia" w:ascii="黑体" w:hAnsi="黑体" w:eastAsia="黑体" w:cs="黑体"/>
                <w:b/>
                <w:color w:val="auto"/>
                <w:kern w:val="0"/>
                <w:sz w:val="18"/>
                <w:szCs w:val="18"/>
                <w:highlight w:val="none"/>
                <w:bdr w:val="single" w:sz="0" w:space="0"/>
              </w:rPr>
              <w:t>表</w:t>
            </w:r>
            <w:r>
              <w:rPr>
                <w:b/>
                <w:color w:val="auto"/>
                <w:kern w:val="0"/>
                <w:sz w:val="18"/>
                <w:szCs w:val="18"/>
                <w:highlight w:val="none"/>
                <w:bdr w:val="single" w:sz="0" w:space="0"/>
              </w:rPr>
              <w:t xml:space="preserve">3.2.2-1  </w:t>
            </w:r>
            <w:r>
              <w:rPr>
                <w:rFonts w:hint="eastAsia" w:ascii="黑体" w:hAnsi="黑体" w:eastAsia="黑体" w:cs="黑体"/>
                <w:b/>
                <w:color w:val="auto"/>
                <w:kern w:val="0"/>
                <w:sz w:val="18"/>
                <w:szCs w:val="18"/>
                <w:highlight w:val="none"/>
                <w:bdr w:val="single" w:sz="0" w:space="0"/>
              </w:rPr>
              <w:t>承重砖的折压比</w:t>
            </w:r>
          </w:p>
          <w:tbl>
            <w:tblPr>
              <w:tblStyle w:val="7"/>
              <w:tblW w:w="4095" w:type="dxa"/>
              <w:jc w:val="center"/>
              <w:tblLayout w:type="fixed"/>
              <w:tblCellMar>
                <w:top w:w="0" w:type="dxa"/>
                <w:left w:w="108" w:type="dxa"/>
                <w:bottom w:w="0" w:type="dxa"/>
                <w:right w:w="108" w:type="dxa"/>
              </w:tblCellMar>
            </w:tblPr>
            <w:tblGrid>
              <w:gridCol w:w="683"/>
              <w:gridCol w:w="679"/>
              <w:gridCol w:w="541"/>
              <w:gridCol w:w="569"/>
              <w:gridCol w:w="548"/>
              <w:gridCol w:w="538"/>
              <w:gridCol w:w="537"/>
            </w:tblGrid>
            <w:tr w14:paraId="5C761B8F">
              <w:tblPrEx>
                <w:tblCellMar>
                  <w:top w:w="0" w:type="dxa"/>
                  <w:left w:w="108" w:type="dxa"/>
                  <w:bottom w:w="0" w:type="dxa"/>
                  <w:right w:w="108" w:type="dxa"/>
                </w:tblCellMar>
              </w:tblPrEx>
              <w:trPr>
                <w:trHeight w:val="276" w:hRule="atLeast"/>
                <w:jc w:val="center"/>
              </w:trPr>
              <w:tc>
                <w:tcPr>
                  <w:tcW w:w="683" w:type="dxa"/>
                  <w:vMerge w:val="restart"/>
                  <w:tcBorders>
                    <w:top w:val="single" w:color="auto" w:sz="4" w:space="0"/>
                    <w:left w:val="single" w:color="auto" w:sz="8" w:space="0"/>
                    <w:bottom w:val="single" w:color="auto" w:sz="4" w:space="0"/>
                    <w:right w:val="single" w:color="auto" w:sz="4" w:space="0"/>
                  </w:tcBorders>
                  <w:noWrap/>
                  <w:vAlign w:val="center"/>
                </w:tcPr>
                <w:p w14:paraId="12CA7C73">
                  <w:pPr>
                    <w:widowControl/>
                    <w:jc w:val="center"/>
                    <w:rPr>
                      <w:rFonts w:hint="eastAsia" w:ascii="黑体" w:hAnsi="黑体" w:eastAsia="黑体" w:cs="黑体"/>
                      <w:b/>
                      <w:color w:val="auto"/>
                      <w:kern w:val="0"/>
                      <w:sz w:val="18"/>
                      <w:szCs w:val="18"/>
                      <w:highlight w:val="none"/>
                      <w:bdr w:val="single" w:sz="4" w:space="0"/>
                    </w:rPr>
                  </w:pPr>
                  <w:r>
                    <w:rPr>
                      <w:rFonts w:hint="eastAsia" w:ascii="黑体" w:hAnsi="黑体" w:eastAsia="黑体" w:cs="黑体"/>
                      <w:b/>
                      <w:color w:val="auto"/>
                      <w:kern w:val="0"/>
                      <w:sz w:val="18"/>
                      <w:szCs w:val="18"/>
                      <w:highlight w:val="none"/>
                      <w:bdr w:val="single" w:sz="4" w:space="0"/>
                    </w:rPr>
                    <w:t>砖种类</w:t>
                  </w:r>
                </w:p>
              </w:tc>
              <w:tc>
                <w:tcPr>
                  <w:tcW w:w="679" w:type="dxa"/>
                  <w:vMerge w:val="restart"/>
                  <w:tcBorders>
                    <w:top w:val="single" w:color="auto" w:sz="4" w:space="0"/>
                    <w:left w:val="single" w:color="auto" w:sz="4" w:space="0"/>
                    <w:bottom w:val="single" w:color="auto" w:sz="4" w:space="0"/>
                    <w:right w:val="single" w:color="auto" w:sz="4" w:space="0"/>
                  </w:tcBorders>
                  <w:noWrap/>
                  <w:vAlign w:val="center"/>
                </w:tcPr>
                <w:p w14:paraId="4E48371B">
                  <w:pPr>
                    <w:widowControl/>
                    <w:jc w:val="center"/>
                    <w:rPr>
                      <w:b/>
                      <w:color w:val="auto"/>
                      <w:kern w:val="0"/>
                      <w:sz w:val="18"/>
                      <w:szCs w:val="18"/>
                      <w:highlight w:val="none"/>
                      <w:bdr w:val="single" w:sz="4" w:space="0"/>
                    </w:rPr>
                  </w:pPr>
                  <w:r>
                    <w:rPr>
                      <w:rFonts w:hint="eastAsia" w:ascii="黑体" w:hAnsi="黑体" w:eastAsia="黑体" w:cs="黑体"/>
                      <w:b/>
                      <w:color w:val="auto"/>
                      <w:kern w:val="0"/>
                      <w:sz w:val="18"/>
                      <w:szCs w:val="18"/>
                      <w:highlight w:val="none"/>
                      <w:bdr w:val="single" w:sz="4" w:space="0"/>
                    </w:rPr>
                    <w:t>高度</w:t>
                  </w:r>
                  <w:r>
                    <w:rPr>
                      <w:b/>
                      <w:color w:val="auto"/>
                      <w:kern w:val="0"/>
                      <w:sz w:val="18"/>
                      <w:szCs w:val="18"/>
                      <w:highlight w:val="none"/>
                      <w:bdr w:val="single" w:sz="4" w:space="0"/>
                    </w:rPr>
                    <w:t>(mm)</w:t>
                  </w:r>
                </w:p>
              </w:tc>
              <w:tc>
                <w:tcPr>
                  <w:tcW w:w="2733" w:type="dxa"/>
                  <w:gridSpan w:val="5"/>
                  <w:tcBorders>
                    <w:top w:val="single" w:color="auto" w:sz="4" w:space="0"/>
                    <w:left w:val="nil"/>
                    <w:bottom w:val="single" w:color="auto" w:sz="4" w:space="0"/>
                    <w:right w:val="single" w:color="000000" w:sz="8" w:space="0"/>
                  </w:tcBorders>
                  <w:noWrap/>
                  <w:vAlign w:val="center"/>
                </w:tcPr>
                <w:p w14:paraId="3DEBEA55">
                  <w:pPr>
                    <w:widowControl/>
                    <w:jc w:val="center"/>
                    <w:rPr>
                      <w:b/>
                      <w:color w:val="auto"/>
                      <w:kern w:val="0"/>
                      <w:sz w:val="18"/>
                      <w:szCs w:val="18"/>
                      <w:highlight w:val="none"/>
                      <w:bdr w:val="single" w:sz="4" w:space="0"/>
                    </w:rPr>
                  </w:pPr>
                  <w:r>
                    <w:rPr>
                      <w:rFonts w:hint="eastAsia" w:ascii="黑体" w:hAnsi="黑体" w:eastAsia="黑体" w:cs="黑体"/>
                      <w:b/>
                      <w:color w:val="auto"/>
                      <w:kern w:val="0"/>
                      <w:sz w:val="18"/>
                      <w:szCs w:val="18"/>
                      <w:highlight w:val="none"/>
                      <w:bdr w:val="single" w:sz="4" w:space="0"/>
                    </w:rPr>
                    <w:t>砖强度等级</w:t>
                  </w:r>
                </w:p>
              </w:tc>
            </w:tr>
            <w:tr w14:paraId="0127DF9F">
              <w:tblPrEx>
                <w:tblCellMar>
                  <w:top w:w="0" w:type="dxa"/>
                  <w:left w:w="108" w:type="dxa"/>
                  <w:bottom w:w="0" w:type="dxa"/>
                  <w:right w:w="108" w:type="dxa"/>
                </w:tblCellMar>
              </w:tblPrEx>
              <w:trPr>
                <w:trHeight w:val="397" w:hRule="atLeast"/>
                <w:jc w:val="center"/>
              </w:trPr>
              <w:tc>
                <w:tcPr>
                  <w:tcW w:w="683" w:type="dxa"/>
                  <w:vMerge w:val="continue"/>
                  <w:tcBorders>
                    <w:top w:val="nil"/>
                    <w:left w:val="single" w:color="auto" w:sz="8" w:space="0"/>
                    <w:bottom w:val="single" w:color="auto" w:sz="4" w:space="0"/>
                    <w:right w:val="single" w:color="auto" w:sz="4" w:space="0"/>
                  </w:tcBorders>
                  <w:noWrap w:val="0"/>
                  <w:vAlign w:val="center"/>
                </w:tcPr>
                <w:p w14:paraId="40FBAD2D">
                  <w:pPr>
                    <w:widowControl/>
                    <w:jc w:val="left"/>
                    <w:rPr>
                      <w:rFonts w:hint="eastAsia" w:ascii="黑体" w:hAnsi="黑体" w:eastAsia="黑体" w:cs="黑体"/>
                      <w:b/>
                      <w:color w:val="auto"/>
                      <w:kern w:val="0"/>
                      <w:sz w:val="18"/>
                      <w:szCs w:val="18"/>
                      <w:highlight w:val="none"/>
                      <w:bdr w:val="single" w:sz="4" w:space="0"/>
                    </w:rPr>
                  </w:pPr>
                </w:p>
              </w:tc>
              <w:tc>
                <w:tcPr>
                  <w:tcW w:w="679" w:type="dxa"/>
                  <w:vMerge w:val="continue"/>
                  <w:tcBorders>
                    <w:top w:val="nil"/>
                    <w:left w:val="single" w:color="auto" w:sz="4" w:space="0"/>
                    <w:bottom w:val="single" w:color="auto" w:sz="4" w:space="0"/>
                    <w:right w:val="single" w:color="auto" w:sz="4" w:space="0"/>
                  </w:tcBorders>
                  <w:noWrap w:val="0"/>
                  <w:vAlign w:val="center"/>
                </w:tcPr>
                <w:p w14:paraId="1B9A8FFF">
                  <w:pPr>
                    <w:widowControl/>
                    <w:jc w:val="left"/>
                    <w:rPr>
                      <w:b/>
                      <w:color w:val="auto"/>
                      <w:kern w:val="0"/>
                      <w:sz w:val="18"/>
                      <w:szCs w:val="18"/>
                      <w:highlight w:val="none"/>
                      <w:bdr w:val="single" w:sz="4" w:space="0"/>
                    </w:rPr>
                  </w:pPr>
                </w:p>
              </w:tc>
              <w:tc>
                <w:tcPr>
                  <w:tcW w:w="541" w:type="dxa"/>
                  <w:tcBorders>
                    <w:top w:val="nil"/>
                    <w:left w:val="nil"/>
                    <w:bottom w:val="single" w:color="auto" w:sz="4" w:space="0"/>
                    <w:right w:val="single" w:color="auto" w:sz="4" w:space="0"/>
                  </w:tcBorders>
                  <w:noWrap/>
                  <w:vAlign w:val="center"/>
                </w:tcPr>
                <w:p w14:paraId="29A66340">
                  <w:pPr>
                    <w:widowControl/>
                    <w:jc w:val="center"/>
                    <w:rPr>
                      <w:b/>
                      <w:color w:val="auto"/>
                      <w:kern w:val="0"/>
                      <w:sz w:val="18"/>
                      <w:szCs w:val="18"/>
                      <w:highlight w:val="none"/>
                      <w:bdr w:val="single" w:sz="4" w:space="0"/>
                    </w:rPr>
                  </w:pPr>
                  <w:r>
                    <w:rPr>
                      <w:b/>
                      <w:color w:val="auto"/>
                      <w:kern w:val="0"/>
                      <w:sz w:val="18"/>
                      <w:szCs w:val="18"/>
                      <w:highlight w:val="none"/>
                      <w:bdr w:val="single" w:sz="4" w:space="0"/>
                    </w:rPr>
                    <w:t>MU30</w:t>
                  </w:r>
                </w:p>
              </w:tc>
              <w:tc>
                <w:tcPr>
                  <w:tcW w:w="569" w:type="dxa"/>
                  <w:tcBorders>
                    <w:top w:val="nil"/>
                    <w:left w:val="nil"/>
                    <w:bottom w:val="single" w:color="auto" w:sz="4" w:space="0"/>
                    <w:right w:val="single" w:color="auto" w:sz="4" w:space="0"/>
                  </w:tcBorders>
                  <w:noWrap/>
                  <w:vAlign w:val="center"/>
                </w:tcPr>
                <w:p w14:paraId="487BE61A">
                  <w:pPr>
                    <w:widowControl/>
                    <w:jc w:val="center"/>
                    <w:rPr>
                      <w:b/>
                      <w:color w:val="auto"/>
                      <w:kern w:val="0"/>
                      <w:sz w:val="18"/>
                      <w:szCs w:val="18"/>
                      <w:highlight w:val="none"/>
                      <w:bdr w:val="single" w:sz="4" w:space="0"/>
                    </w:rPr>
                  </w:pPr>
                  <w:r>
                    <w:rPr>
                      <w:b/>
                      <w:color w:val="auto"/>
                      <w:kern w:val="0"/>
                      <w:sz w:val="18"/>
                      <w:szCs w:val="18"/>
                      <w:highlight w:val="none"/>
                      <w:bdr w:val="single" w:sz="4" w:space="0"/>
                    </w:rPr>
                    <w:t>MU25</w:t>
                  </w:r>
                </w:p>
              </w:tc>
              <w:tc>
                <w:tcPr>
                  <w:tcW w:w="548" w:type="dxa"/>
                  <w:tcBorders>
                    <w:top w:val="nil"/>
                    <w:left w:val="nil"/>
                    <w:bottom w:val="single" w:color="auto" w:sz="4" w:space="0"/>
                    <w:right w:val="single" w:color="auto" w:sz="4" w:space="0"/>
                  </w:tcBorders>
                  <w:noWrap/>
                  <w:vAlign w:val="center"/>
                </w:tcPr>
                <w:p w14:paraId="3BF44B16">
                  <w:pPr>
                    <w:widowControl/>
                    <w:jc w:val="center"/>
                    <w:rPr>
                      <w:b/>
                      <w:color w:val="auto"/>
                      <w:kern w:val="0"/>
                      <w:sz w:val="18"/>
                      <w:szCs w:val="18"/>
                      <w:highlight w:val="none"/>
                      <w:bdr w:val="single" w:sz="4" w:space="0"/>
                    </w:rPr>
                  </w:pPr>
                  <w:r>
                    <w:rPr>
                      <w:b/>
                      <w:color w:val="auto"/>
                      <w:kern w:val="0"/>
                      <w:sz w:val="18"/>
                      <w:szCs w:val="18"/>
                      <w:highlight w:val="none"/>
                      <w:bdr w:val="single" w:sz="4" w:space="0"/>
                    </w:rPr>
                    <w:t>MU20</w:t>
                  </w:r>
                </w:p>
              </w:tc>
              <w:tc>
                <w:tcPr>
                  <w:tcW w:w="538" w:type="dxa"/>
                  <w:tcBorders>
                    <w:top w:val="nil"/>
                    <w:left w:val="nil"/>
                    <w:bottom w:val="single" w:color="auto" w:sz="4" w:space="0"/>
                    <w:right w:val="single" w:color="auto" w:sz="4" w:space="0"/>
                  </w:tcBorders>
                  <w:noWrap/>
                  <w:vAlign w:val="center"/>
                </w:tcPr>
                <w:p w14:paraId="65284AF5">
                  <w:pPr>
                    <w:widowControl/>
                    <w:jc w:val="center"/>
                    <w:rPr>
                      <w:b/>
                      <w:color w:val="auto"/>
                      <w:kern w:val="0"/>
                      <w:sz w:val="18"/>
                      <w:szCs w:val="18"/>
                      <w:highlight w:val="none"/>
                      <w:bdr w:val="single" w:sz="4" w:space="0"/>
                    </w:rPr>
                  </w:pPr>
                  <w:r>
                    <w:rPr>
                      <w:b/>
                      <w:color w:val="auto"/>
                      <w:kern w:val="0"/>
                      <w:sz w:val="18"/>
                      <w:szCs w:val="18"/>
                      <w:highlight w:val="none"/>
                      <w:bdr w:val="single" w:sz="4" w:space="0"/>
                    </w:rPr>
                    <w:t>MU15</w:t>
                  </w:r>
                </w:p>
              </w:tc>
              <w:tc>
                <w:tcPr>
                  <w:tcW w:w="537" w:type="dxa"/>
                  <w:tcBorders>
                    <w:top w:val="nil"/>
                    <w:left w:val="nil"/>
                    <w:bottom w:val="single" w:color="auto" w:sz="4" w:space="0"/>
                    <w:right w:val="single" w:color="auto" w:sz="8" w:space="0"/>
                  </w:tcBorders>
                  <w:noWrap/>
                  <w:vAlign w:val="center"/>
                </w:tcPr>
                <w:p w14:paraId="3BCE23A0">
                  <w:pPr>
                    <w:widowControl/>
                    <w:jc w:val="center"/>
                    <w:rPr>
                      <w:b/>
                      <w:color w:val="auto"/>
                      <w:kern w:val="0"/>
                      <w:sz w:val="18"/>
                      <w:szCs w:val="18"/>
                      <w:highlight w:val="none"/>
                      <w:bdr w:val="single" w:sz="4" w:space="0"/>
                    </w:rPr>
                  </w:pPr>
                  <w:r>
                    <w:rPr>
                      <w:b/>
                      <w:color w:val="auto"/>
                      <w:kern w:val="0"/>
                      <w:sz w:val="18"/>
                      <w:szCs w:val="18"/>
                      <w:highlight w:val="none"/>
                      <w:bdr w:val="single" w:sz="4" w:space="0"/>
                    </w:rPr>
                    <w:t>MU10</w:t>
                  </w:r>
                </w:p>
              </w:tc>
            </w:tr>
            <w:tr w14:paraId="51F2F987">
              <w:tblPrEx>
                <w:tblCellMar>
                  <w:top w:w="0" w:type="dxa"/>
                  <w:left w:w="108" w:type="dxa"/>
                  <w:bottom w:w="0" w:type="dxa"/>
                  <w:right w:w="108" w:type="dxa"/>
                </w:tblCellMar>
              </w:tblPrEx>
              <w:trPr>
                <w:trHeight w:val="276" w:hRule="atLeast"/>
                <w:jc w:val="center"/>
              </w:trPr>
              <w:tc>
                <w:tcPr>
                  <w:tcW w:w="683" w:type="dxa"/>
                  <w:vMerge w:val="continue"/>
                  <w:tcBorders>
                    <w:top w:val="nil"/>
                    <w:left w:val="single" w:color="auto" w:sz="8" w:space="0"/>
                    <w:bottom w:val="single" w:color="auto" w:sz="4" w:space="0"/>
                    <w:right w:val="single" w:color="auto" w:sz="4" w:space="0"/>
                  </w:tcBorders>
                  <w:noWrap w:val="0"/>
                  <w:vAlign w:val="center"/>
                </w:tcPr>
                <w:p w14:paraId="0D13D064">
                  <w:pPr>
                    <w:widowControl/>
                    <w:jc w:val="left"/>
                    <w:rPr>
                      <w:rFonts w:hint="eastAsia" w:ascii="黑体" w:hAnsi="黑体" w:eastAsia="黑体" w:cs="黑体"/>
                      <w:b/>
                      <w:color w:val="auto"/>
                      <w:kern w:val="0"/>
                      <w:sz w:val="18"/>
                      <w:szCs w:val="18"/>
                      <w:highlight w:val="none"/>
                      <w:bdr w:val="single" w:sz="4" w:space="0"/>
                    </w:rPr>
                  </w:pPr>
                </w:p>
              </w:tc>
              <w:tc>
                <w:tcPr>
                  <w:tcW w:w="679" w:type="dxa"/>
                  <w:vMerge w:val="continue"/>
                  <w:tcBorders>
                    <w:top w:val="nil"/>
                    <w:left w:val="single" w:color="auto" w:sz="4" w:space="0"/>
                    <w:bottom w:val="single" w:color="auto" w:sz="4" w:space="0"/>
                    <w:right w:val="single" w:color="auto" w:sz="4" w:space="0"/>
                  </w:tcBorders>
                  <w:noWrap w:val="0"/>
                  <w:vAlign w:val="center"/>
                </w:tcPr>
                <w:p w14:paraId="68636529">
                  <w:pPr>
                    <w:widowControl/>
                    <w:jc w:val="left"/>
                    <w:rPr>
                      <w:b/>
                      <w:color w:val="auto"/>
                      <w:kern w:val="0"/>
                      <w:sz w:val="18"/>
                      <w:szCs w:val="18"/>
                      <w:highlight w:val="none"/>
                      <w:bdr w:val="single" w:sz="4" w:space="0"/>
                    </w:rPr>
                  </w:pPr>
                </w:p>
              </w:tc>
              <w:tc>
                <w:tcPr>
                  <w:tcW w:w="2733" w:type="dxa"/>
                  <w:gridSpan w:val="5"/>
                  <w:tcBorders>
                    <w:top w:val="single" w:color="auto" w:sz="4" w:space="0"/>
                    <w:left w:val="nil"/>
                    <w:bottom w:val="single" w:color="auto" w:sz="4" w:space="0"/>
                    <w:right w:val="single" w:color="000000" w:sz="8" w:space="0"/>
                  </w:tcBorders>
                  <w:noWrap/>
                  <w:vAlign w:val="center"/>
                </w:tcPr>
                <w:p w14:paraId="2757072E">
                  <w:pPr>
                    <w:widowControl/>
                    <w:jc w:val="center"/>
                    <w:rPr>
                      <w:b/>
                      <w:color w:val="auto"/>
                      <w:kern w:val="0"/>
                      <w:sz w:val="18"/>
                      <w:szCs w:val="18"/>
                      <w:highlight w:val="none"/>
                      <w:bdr w:val="single" w:sz="4" w:space="0"/>
                    </w:rPr>
                  </w:pPr>
                  <w:r>
                    <w:rPr>
                      <w:rFonts w:hint="eastAsia" w:ascii="黑体" w:hAnsi="黑体" w:eastAsia="黑体" w:cs="黑体"/>
                      <w:b/>
                      <w:color w:val="auto"/>
                      <w:kern w:val="0"/>
                      <w:sz w:val="18"/>
                      <w:szCs w:val="18"/>
                      <w:highlight w:val="none"/>
                      <w:bdr w:val="single" w:sz="4" w:space="0"/>
                    </w:rPr>
                    <w:t>折压比</w:t>
                  </w:r>
                </w:p>
              </w:tc>
            </w:tr>
            <w:tr w14:paraId="528F8354">
              <w:tblPrEx>
                <w:tblCellMar>
                  <w:top w:w="0" w:type="dxa"/>
                  <w:left w:w="108" w:type="dxa"/>
                  <w:bottom w:w="0" w:type="dxa"/>
                  <w:right w:w="108" w:type="dxa"/>
                </w:tblCellMar>
              </w:tblPrEx>
              <w:trPr>
                <w:trHeight w:val="276" w:hRule="atLeast"/>
                <w:jc w:val="center"/>
              </w:trPr>
              <w:tc>
                <w:tcPr>
                  <w:tcW w:w="683" w:type="dxa"/>
                  <w:tcBorders>
                    <w:top w:val="nil"/>
                    <w:left w:val="single" w:color="auto" w:sz="8" w:space="0"/>
                    <w:bottom w:val="single" w:color="auto" w:sz="4" w:space="0"/>
                    <w:right w:val="single" w:color="auto" w:sz="4" w:space="0"/>
                  </w:tcBorders>
                  <w:noWrap/>
                  <w:vAlign w:val="center"/>
                </w:tcPr>
                <w:p w14:paraId="633ACD5A">
                  <w:pPr>
                    <w:widowControl/>
                    <w:jc w:val="center"/>
                    <w:rPr>
                      <w:rFonts w:hint="eastAsia" w:ascii="黑体" w:hAnsi="黑体" w:eastAsia="黑体" w:cs="黑体"/>
                      <w:b/>
                      <w:color w:val="auto"/>
                      <w:kern w:val="0"/>
                      <w:sz w:val="18"/>
                      <w:szCs w:val="18"/>
                      <w:highlight w:val="none"/>
                      <w:bdr w:val="single" w:sz="4" w:space="0"/>
                    </w:rPr>
                  </w:pPr>
                  <w:r>
                    <w:rPr>
                      <w:rFonts w:hint="eastAsia" w:ascii="黑体" w:hAnsi="黑体" w:eastAsia="黑体" w:cs="黑体"/>
                      <w:b/>
                      <w:color w:val="auto"/>
                      <w:kern w:val="0"/>
                      <w:sz w:val="18"/>
                      <w:szCs w:val="18"/>
                      <w:highlight w:val="none"/>
                      <w:bdr w:val="single" w:sz="4" w:space="0"/>
                    </w:rPr>
                    <w:t>蒸压普通砖</w:t>
                  </w:r>
                </w:p>
              </w:tc>
              <w:tc>
                <w:tcPr>
                  <w:tcW w:w="679" w:type="dxa"/>
                  <w:tcBorders>
                    <w:top w:val="nil"/>
                    <w:left w:val="nil"/>
                    <w:bottom w:val="single" w:color="auto" w:sz="4" w:space="0"/>
                    <w:right w:val="single" w:color="auto" w:sz="4" w:space="0"/>
                  </w:tcBorders>
                  <w:noWrap/>
                  <w:vAlign w:val="center"/>
                </w:tcPr>
                <w:p w14:paraId="0971C264">
                  <w:pPr>
                    <w:widowControl/>
                    <w:jc w:val="center"/>
                    <w:rPr>
                      <w:b/>
                      <w:color w:val="auto"/>
                      <w:kern w:val="0"/>
                      <w:sz w:val="18"/>
                      <w:szCs w:val="18"/>
                      <w:highlight w:val="none"/>
                      <w:bdr w:val="single" w:sz="4" w:space="0"/>
                    </w:rPr>
                  </w:pPr>
                  <w:r>
                    <w:rPr>
                      <w:b/>
                      <w:color w:val="auto"/>
                      <w:kern w:val="0"/>
                      <w:sz w:val="18"/>
                      <w:szCs w:val="18"/>
                      <w:highlight w:val="none"/>
                      <w:bdr w:val="single" w:sz="4" w:space="0"/>
                    </w:rPr>
                    <w:t>53</w:t>
                  </w:r>
                </w:p>
              </w:tc>
              <w:tc>
                <w:tcPr>
                  <w:tcW w:w="541" w:type="dxa"/>
                  <w:tcBorders>
                    <w:top w:val="nil"/>
                    <w:left w:val="nil"/>
                    <w:bottom w:val="single" w:color="auto" w:sz="4" w:space="0"/>
                    <w:right w:val="single" w:color="auto" w:sz="4" w:space="0"/>
                  </w:tcBorders>
                  <w:noWrap/>
                  <w:vAlign w:val="center"/>
                </w:tcPr>
                <w:p w14:paraId="7C804012">
                  <w:pPr>
                    <w:widowControl/>
                    <w:jc w:val="center"/>
                    <w:rPr>
                      <w:b/>
                      <w:color w:val="auto"/>
                      <w:kern w:val="0"/>
                      <w:sz w:val="18"/>
                      <w:szCs w:val="18"/>
                      <w:highlight w:val="none"/>
                      <w:bdr w:val="single" w:sz="4" w:space="0"/>
                    </w:rPr>
                  </w:pPr>
                  <w:r>
                    <w:rPr>
                      <w:b/>
                      <w:color w:val="auto"/>
                      <w:kern w:val="0"/>
                      <w:sz w:val="18"/>
                      <w:szCs w:val="18"/>
                      <w:highlight w:val="none"/>
                      <w:bdr w:val="single" w:sz="4" w:space="0"/>
                    </w:rPr>
                    <w:t>0.16</w:t>
                  </w:r>
                </w:p>
              </w:tc>
              <w:tc>
                <w:tcPr>
                  <w:tcW w:w="569" w:type="dxa"/>
                  <w:tcBorders>
                    <w:top w:val="nil"/>
                    <w:left w:val="nil"/>
                    <w:bottom w:val="single" w:color="auto" w:sz="4" w:space="0"/>
                    <w:right w:val="single" w:color="auto" w:sz="4" w:space="0"/>
                  </w:tcBorders>
                  <w:noWrap/>
                  <w:vAlign w:val="center"/>
                </w:tcPr>
                <w:p w14:paraId="210ECF86">
                  <w:pPr>
                    <w:widowControl/>
                    <w:jc w:val="center"/>
                    <w:rPr>
                      <w:b/>
                      <w:color w:val="auto"/>
                      <w:kern w:val="0"/>
                      <w:sz w:val="18"/>
                      <w:szCs w:val="18"/>
                      <w:highlight w:val="none"/>
                      <w:bdr w:val="single" w:sz="4" w:space="0"/>
                    </w:rPr>
                  </w:pPr>
                  <w:r>
                    <w:rPr>
                      <w:b/>
                      <w:color w:val="auto"/>
                      <w:kern w:val="0"/>
                      <w:sz w:val="18"/>
                      <w:szCs w:val="18"/>
                      <w:highlight w:val="none"/>
                      <w:bdr w:val="single" w:sz="4" w:space="0"/>
                    </w:rPr>
                    <w:t>0.18</w:t>
                  </w:r>
                </w:p>
              </w:tc>
              <w:tc>
                <w:tcPr>
                  <w:tcW w:w="548" w:type="dxa"/>
                  <w:tcBorders>
                    <w:top w:val="nil"/>
                    <w:left w:val="nil"/>
                    <w:bottom w:val="single" w:color="auto" w:sz="4" w:space="0"/>
                    <w:right w:val="single" w:color="auto" w:sz="4" w:space="0"/>
                  </w:tcBorders>
                  <w:noWrap/>
                  <w:vAlign w:val="center"/>
                </w:tcPr>
                <w:p w14:paraId="20F2D46A">
                  <w:pPr>
                    <w:widowControl/>
                    <w:jc w:val="center"/>
                    <w:rPr>
                      <w:b/>
                      <w:color w:val="auto"/>
                      <w:kern w:val="0"/>
                      <w:sz w:val="18"/>
                      <w:szCs w:val="18"/>
                      <w:highlight w:val="none"/>
                      <w:bdr w:val="single" w:sz="4" w:space="0"/>
                    </w:rPr>
                  </w:pPr>
                  <w:r>
                    <w:rPr>
                      <w:b/>
                      <w:color w:val="auto"/>
                      <w:kern w:val="0"/>
                      <w:sz w:val="18"/>
                      <w:szCs w:val="18"/>
                      <w:highlight w:val="none"/>
                      <w:bdr w:val="single" w:sz="4" w:space="0"/>
                    </w:rPr>
                    <w:t>0.20</w:t>
                  </w:r>
                </w:p>
              </w:tc>
              <w:tc>
                <w:tcPr>
                  <w:tcW w:w="538" w:type="dxa"/>
                  <w:tcBorders>
                    <w:top w:val="nil"/>
                    <w:left w:val="nil"/>
                    <w:bottom w:val="single" w:color="auto" w:sz="4" w:space="0"/>
                    <w:right w:val="single" w:color="auto" w:sz="4" w:space="0"/>
                  </w:tcBorders>
                  <w:noWrap/>
                  <w:vAlign w:val="center"/>
                </w:tcPr>
                <w:p w14:paraId="61846A8D">
                  <w:pPr>
                    <w:widowControl/>
                    <w:jc w:val="center"/>
                    <w:rPr>
                      <w:b/>
                      <w:color w:val="auto"/>
                      <w:kern w:val="0"/>
                      <w:sz w:val="18"/>
                      <w:szCs w:val="18"/>
                      <w:highlight w:val="none"/>
                      <w:bdr w:val="single" w:sz="4" w:space="0"/>
                    </w:rPr>
                  </w:pPr>
                  <w:r>
                    <w:rPr>
                      <w:b/>
                      <w:color w:val="auto"/>
                      <w:kern w:val="0"/>
                      <w:sz w:val="18"/>
                      <w:szCs w:val="18"/>
                      <w:highlight w:val="none"/>
                      <w:bdr w:val="single" w:sz="4" w:space="0"/>
                    </w:rPr>
                    <w:t>0.25</w:t>
                  </w:r>
                </w:p>
              </w:tc>
              <w:tc>
                <w:tcPr>
                  <w:tcW w:w="537" w:type="dxa"/>
                  <w:tcBorders>
                    <w:top w:val="nil"/>
                    <w:left w:val="nil"/>
                    <w:bottom w:val="single" w:color="auto" w:sz="4" w:space="0"/>
                    <w:right w:val="single" w:color="auto" w:sz="8" w:space="0"/>
                  </w:tcBorders>
                  <w:noWrap/>
                  <w:vAlign w:val="center"/>
                </w:tcPr>
                <w:p w14:paraId="1C9DBB24">
                  <w:pPr>
                    <w:widowControl/>
                    <w:jc w:val="center"/>
                    <w:rPr>
                      <w:b/>
                      <w:color w:val="auto"/>
                      <w:kern w:val="0"/>
                      <w:sz w:val="18"/>
                      <w:szCs w:val="18"/>
                      <w:highlight w:val="none"/>
                      <w:bdr w:val="single" w:sz="4" w:space="0"/>
                    </w:rPr>
                  </w:pPr>
                  <w:r>
                    <w:rPr>
                      <w:b/>
                      <w:color w:val="auto"/>
                      <w:kern w:val="0"/>
                      <w:sz w:val="18"/>
                      <w:szCs w:val="18"/>
                      <w:highlight w:val="none"/>
                      <w:bdr w:val="single" w:sz="4" w:space="0"/>
                    </w:rPr>
                    <w:t>—</w:t>
                  </w:r>
                </w:p>
              </w:tc>
            </w:tr>
            <w:tr w14:paraId="6138C844">
              <w:tblPrEx>
                <w:tblCellMar>
                  <w:top w:w="0" w:type="dxa"/>
                  <w:left w:w="108" w:type="dxa"/>
                  <w:bottom w:w="0" w:type="dxa"/>
                  <w:right w:w="108" w:type="dxa"/>
                </w:tblCellMar>
              </w:tblPrEx>
              <w:trPr>
                <w:trHeight w:val="291" w:hRule="atLeast"/>
                <w:jc w:val="center"/>
              </w:trPr>
              <w:tc>
                <w:tcPr>
                  <w:tcW w:w="683" w:type="dxa"/>
                  <w:tcBorders>
                    <w:top w:val="single" w:color="auto" w:sz="4" w:space="0"/>
                    <w:left w:val="single" w:color="auto" w:sz="8" w:space="0"/>
                    <w:bottom w:val="single" w:color="auto" w:sz="4" w:space="0"/>
                    <w:right w:val="single" w:color="auto" w:sz="4" w:space="0"/>
                  </w:tcBorders>
                  <w:noWrap/>
                  <w:vAlign w:val="center"/>
                </w:tcPr>
                <w:p w14:paraId="107A8C90">
                  <w:pPr>
                    <w:widowControl/>
                    <w:jc w:val="center"/>
                    <w:rPr>
                      <w:rFonts w:hint="eastAsia" w:ascii="黑体" w:hAnsi="黑体" w:eastAsia="黑体" w:cs="黑体"/>
                      <w:b/>
                      <w:color w:val="auto"/>
                      <w:kern w:val="0"/>
                      <w:sz w:val="18"/>
                      <w:szCs w:val="18"/>
                      <w:highlight w:val="none"/>
                      <w:bdr w:val="single" w:sz="4" w:space="0"/>
                    </w:rPr>
                  </w:pPr>
                  <w:r>
                    <w:rPr>
                      <w:rFonts w:hint="eastAsia" w:ascii="黑体" w:hAnsi="黑体" w:eastAsia="黑体" w:cs="黑体"/>
                      <w:b/>
                      <w:color w:val="auto"/>
                      <w:kern w:val="0"/>
                      <w:sz w:val="18"/>
                      <w:szCs w:val="18"/>
                      <w:highlight w:val="none"/>
                      <w:bdr w:val="single" w:sz="4" w:space="0"/>
                    </w:rPr>
                    <w:t>多孔砖</w:t>
                  </w:r>
                </w:p>
              </w:tc>
              <w:tc>
                <w:tcPr>
                  <w:tcW w:w="679" w:type="dxa"/>
                  <w:tcBorders>
                    <w:top w:val="single" w:color="auto" w:sz="4" w:space="0"/>
                    <w:left w:val="nil"/>
                    <w:bottom w:val="single" w:color="auto" w:sz="4" w:space="0"/>
                    <w:right w:val="single" w:color="auto" w:sz="4" w:space="0"/>
                  </w:tcBorders>
                  <w:noWrap/>
                  <w:vAlign w:val="center"/>
                </w:tcPr>
                <w:p w14:paraId="63C9FEE2">
                  <w:pPr>
                    <w:widowControl/>
                    <w:jc w:val="center"/>
                    <w:rPr>
                      <w:b/>
                      <w:color w:val="auto"/>
                      <w:kern w:val="0"/>
                      <w:sz w:val="18"/>
                      <w:szCs w:val="18"/>
                      <w:highlight w:val="none"/>
                      <w:bdr w:val="single" w:sz="4" w:space="0"/>
                    </w:rPr>
                  </w:pPr>
                  <w:r>
                    <w:rPr>
                      <w:b/>
                      <w:color w:val="auto"/>
                      <w:kern w:val="0"/>
                      <w:sz w:val="18"/>
                      <w:szCs w:val="18"/>
                      <w:highlight w:val="none"/>
                      <w:bdr w:val="single" w:sz="4" w:space="0"/>
                    </w:rPr>
                    <w:t>90</w:t>
                  </w:r>
                </w:p>
              </w:tc>
              <w:tc>
                <w:tcPr>
                  <w:tcW w:w="541" w:type="dxa"/>
                  <w:tcBorders>
                    <w:top w:val="single" w:color="auto" w:sz="4" w:space="0"/>
                    <w:left w:val="nil"/>
                    <w:bottom w:val="single" w:color="auto" w:sz="4" w:space="0"/>
                    <w:right w:val="single" w:color="auto" w:sz="4" w:space="0"/>
                  </w:tcBorders>
                  <w:noWrap/>
                  <w:vAlign w:val="center"/>
                </w:tcPr>
                <w:p w14:paraId="553E2ABD">
                  <w:pPr>
                    <w:widowControl/>
                    <w:jc w:val="center"/>
                    <w:rPr>
                      <w:b/>
                      <w:color w:val="auto"/>
                      <w:kern w:val="0"/>
                      <w:sz w:val="18"/>
                      <w:szCs w:val="18"/>
                      <w:highlight w:val="none"/>
                      <w:bdr w:val="single" w:sz="4" w:space="0"/>
                    </w:rPr>
                  </w:pPr>
                  <w:r>
                    <w:rPr>
                      <w:b/>
                      <w:color w:val="auto"/>
                      <w:kern w:val="0"/>
                      <w:sz w:val="18"/>
                      <w:szCs w:val="18"/>
                      <w:highlight w:val="none"/>
                      <w:bdr w:val="single" w:sz="4" w:space="0"/>
                    </w:rPr>
                    <w:t>0.21</w:t>
                  </w:r>
                </w:p>
              </w:tc>
              <w:tc>
                <w:tcPr>
                  <w:tcW w:w="569" w:type="dxa"/>
                  <w:tcBorders>
                    <w:top w:val="single" w:color="auto" w:sz="4" w:space="0"/>
                    <w:left w:val="nil"/>
                    <w:bottom w:val="single" w:color="auto" w:sz="4" w:space="0"/>
                    <w:right w:val="single" w:color="auto" w:sz="4" w:space="0"/>
                  </w:tcBorders>
                  <w:noWrap/>
                  <w:vAlign w:val="center"/>
                </w:tcPr>
                <w:p w14:paraId="261D8AFD">
                  <w:pPr>
                    <w:widowControl/>
                    <w:jc w:val="center"/>
                    <w:rPr>
                      <w:b/>
                      <w:color w:val="auto"/>
                      <w:kern w:val="0"/>
                      <w:sz w:val="18"/>
                      <w:szCs w:val="18"/>
                      <w:highlight w:val="none"/>
                      <w:bdr w:val="single" w:sz="4" w:space="0"/>
                    </w:rPr>
                  </w:pPr>
                  <w:r>
                    <w:rPr>
                      <w:b/>
                      <w:color w:val="auto"/>
                      <w:kern w:val="0"/>
                      <w:sz w:val="18"/>
                      <w:szCs w:val="18"/>
                      <w:highlight w:val="none"/>
                      <w:bdr w:val="single" w:sz="4" w:space="0"/>
                    </w:rPr>
                    <w:t>0.23</w:t>
                  </w:r>
                </w:p>
              </w:tc>
              <w:tc>
                <w:tcPr>
                  <w:tcW w:w="548" w:type="dxa"/>
                  <w:tcBorders>
                    <w:top w:val="single" w:color="auto" w:sz="4" w:space="0"/>
                    <w:left w:val="nil"/>
                    <w:bottom w:val="single" w:color="auto" w:sz="4" w:space="0"/>
                    <w:right w:val="single" w:color="auto" w:sz="4" w:space="0"/>
                  </w:tcBorders>
                  <w:noWrap/>
                  <w:vAlign w:val="center"/>
                </w:tcPr>
                <w:p w14:paraId="4BDFDDBE">
                  <w:pPr>
                    <w:widowControl/>
                    <w:jc w:val="center"/>
                    <w:rPr>
                      <w:b/>
                      <w:color w:val="auto"/>
                      <w:kern w:val="0"/>
                      <w:sz w:val="18"/>
                      <w:szCs w:val="18"/>
                      <w:highlight w:val="none"/>
                      <w:bdr w:val="single" w:sz="4" w:space="0"/>
                    </w:rPr>
                  </w:pPr>
                  <w:r>
                    <w:rPr>
                      <w:b/>
                      <w:color w:val="auto"/>
                      <w:kern w:val="0"/>
                      <w:sz w:val="18"/>
                      <w:szCs w:val="18"/>
                      <w:highlight w:val="none"/>
                      <w:bdr w:val="single" w:sz="4" w:space="0"/>
                    </w:rPr>
                    <w:t>0.24</w:t>
                  </w:r>
                </w:p>
              </w:tc>
              <w:tc>
                <w:tcPr>
                  <w:tcW w:w="538" w:type="dxa"/>
                  <w:tcBorders>
                    <w:top w:val="single" w:color="auto" w:sz="4" w:space="0"/>
                    <w:left w:val="nil"/>
                    <w:bottom w:val="single" w:color="auto" w:sz="4" w:space="0"/>
                    <w:right w:val="single" w:color="auto" w:sz="4" w:space="0"/>
                  </w:tcBorders>
                  <w:noWrap/>
                  <w:vAlign w:val="center"/>
                </w:tcPr>
                <w:p w14:paraId="4DAE734C">
                  <w:pPr>
                    <w:widowControl/>
                    <w:jc w:val="center"/>
                    <w:rPr>
                      <w:b/>
                      <w:color w:val="auto"/>
                      <w:kern w:val="0"/>
                      <w:sz w:val="18"/>
                      <w:szCs w:val="18"/>
                      <w:highlight w:val="none"/>
                      <w:bdr w:val="single" w:sz="4" w:space="0"/>
                    </w:rPr>
                  </w:pPr>
                  <w:r>
                    <w:rPr>
                      <w:b/>
                      <w:color w:val="auto"/>
                      <w:kern w:val="0"/>
                      <w:sz w:val="18"/>
                      <w:szCs w:val="18"/>
                      <w:highlight w:val="none"/>
                      <w:bdr w:val="single" w:sz="4" w:space="0"/>
                    </w:rPr>
                    <w:t>0.27</w:t>
                  </w:r>
                </w:p>
              </w:tc>
              <w:tc>
                <w:tcPr>
                  <w:tcW w:w="537" w:type="dxa"/>
                  <w:tcBorders>
                    <w:top w:val="single" w:color="auto" w:sz="4" w:space="0"/>
                    <w:left w:val="nil"/>
                    <w:bottom w:val="single" w:color="auto" w:sz="4" w:space="0"/>
                    <w:right w:val="single" w:color="auto" w:sz="8" w:space="0"/>
                  </w:tcBorders>
                  <w:noWrap/>
                  <w:vAlign w:val="center"/>
                </w:tcPr>
                <w:p w14:paraId="5526620D">
                  <w:pPr>
                    <w:widowControl/>
                    <w:jc w:val="center"/>
                    <w:rPr>
                      <w:b/>
                      <w:color w:val="auto"/>
                      <w:kern w:val="0"/>
                      <w:sz w:val="18"/>
                      <w:szCs w:val="18"/>
                      <w:highlight w:val="none"/>
                      <w:bdr w:val="single" w:sz="4" w:space="0"/>
                    </w:rPr>
                  </w:pPr>
                  <w:r>
                    <w:rPr>
                      <w:b/>
                      <w:color w:val="auto"/>
                      <w:kern w:val="0"/>
                      <w:sz w:val="18"/>
                      <w:szCs w:val="18"/>
                      <w:highlight w:val="none"/>
                      <w:bdr w:val="single" w:sz="4" w:space="0"/>
                    </w:rPr>
                    <w:t>0.32</w:t>
                  </w:r>
                </w:p>
              </w:tc>
            </w:tr>
          </w:tbl>
          <w:p w14:paraId="3D8CAFB7">
            <w:pPr>
              <w:ind w:left="1080" w:leftChars="170" w:hanging="723" w:hangingChars="400"/>
              <w:rPr>
                <w:b/>
                <w:color w:val="auto"/>
                <w:sz w:val="18"/>
                <w:szCs w:val="18"/>
                <w:highlight w:val="none"/>
                <w:bdr w:val="single" w:sz="0" w:space="0"/>
              </w:rPr>
            </w:pPr>
            <w:r>
              <w:rPr>
                <w:rFonts w:hint="eastAsia" w:ascii="黑体" w:hAnsi="黑体" w:eastAsia="黑体" w:cs="黑体"/>
                <w:b/>
                <w:color w:val="auto"/>
                <w:sz w:val="18"/>
                <w:szCs w:val="18"/>
                <w:highlight w:val="none"/>
                <w:bdr w:val="single" w:sz="0" w:space="0"/>
              </w:rPr>
              <w:t>注：</w:t>
            </w:r>
            <w:r>
              <w:rPr>
                <w:b/>
                <w:color w:val="auto"/>
                <w:sz w:val="18"/>
                <w:szCs w:val="18"/>
                <w:highlight w:val="none"/>
                <w:bdr w:val="single" w:sz="0" w:space="0"/>
              </w:rPr>
              <w:t xml:space="preserve">1  </w:t>
            </w:r>
            <w:r>
              <w:rPr>
                <w:rFonts w:hint="eastAsia" w:ascii="黑体" w:hAnsi="黑体" w:eastAsia="黑体" w:cs="黑体"/>
                <w:b/>
                <w:color w:val="auto"/>
                <w:sz w:val="18"/>
                <w:szCs w:val="18"/>
                <w:highlight w:val="none"/>
                <w:bdr w:val="single" w:sz="0" w:space="0"/>
              </w:rPr>
              <w:t>蒸压普通砖包括蒸压灰砂实心砖和蒸压粉煤灰实心砖；</w:t>
            </w:r>
          </w:p>
          <w:p w14:paraId="04E1D22C">
            <w:pPr>
              <w:ind w:firstLine="723" w:firstLineChars="400"/>
              <w:rPr>
                <w:rFonts w:hint="eastAsia" w:ascii="黑体" w:hAnsi="黑体" w:eastAsia="黑体" w:cs="黑体"/>
                <w:b/>
                <w:color w:val="auto"/>
                <w:sz w:val="18"/>
                <w:szCs w:val="18"/>
                <w:highlight w:val="none"/>
                <w:bdr w:val="single" w:sz="0" w:space="0"/>
              </w:rPr>
            </w:pPr>
            <w:r>
              <w:rPr>
                <w:b/>
                <w:color w:val="auto"/>
                <w:sz w:val="18"/>
                <w:szCs w:val="18"/>
                <w:highlight w:val="none"/>
                <w:bdr w:val="single" w:sz="0" w:space="0"/>
              </w:rPr>
              <w:t xml:space="preserve">2  </w:t>
            </w:r>
            <w:r>
              <w:rPr>
                <w:rFonts w:hint="eastAsia" w:ascii="黑体" w:hAnsi="黑体" w:eastAsia="黑体" w:cs="黑体"/>
                <w:b/>
                <w:color w:val="auto"/>
                <w:sz w:val="18"/>
                <w:szCs w:val="18"/>
                <w:highlight w:val="none"/>
                <w:bdr w:val="single" w:sz="0" w:space="0"/>
              </w:rPr>
              <w:t>多孔砖包括烧结多孔砖和混凝土多孔砖。</w:t>
            </w:r>
          </w:p>
          <w:p w14:paraId="064740E4">
            <w:pPr>
              <w:ind w:firstLine="358" w:firstLineChars="198"/>
              <w:jc w:val="center"/>
              <w:rPr>
                <w:color w:val="auto"/>
                <w:sz w:val="18"/>
                <w:szCs w:val="18"/>
                <w:highlight w:val="none"/>
                <w:u w:val="single"/>
              </w:rPr>
            </w:pPr>
            <w:r>
              <w:rPr>
                <w:rFonts w:hint="eastAsia" w:ascii="黑体" w:hAnsi="黑体" w:eastAsia="黑体" w:cs="黑体"/>
                <w:b/>
                <w:color w:val="auto"/>
                <w:kern w:val="0"/>
                <w:sz w:val="18"/>
                <w:szCs w:val="18"/>
                <w:highlight w:val="none"/>
                <w:u w:val="single"/>
              </w:rPr>
              <w:t>表</w:t>
            </w:r>
            <w:r>
              <w:rPr>
                <w:b/>
                <w:color w:val="auto"/>
                <w:kern w:val="0"/>
                <w:sz w:val="18"/>
                <w:szCs w:val="18"/>
                <w:highlight w:val="none"/>
                <w:u w:val="single"/>
              </w:rPr>
              <w:t>3.2.2</w:t>
            </w:r>
            <w:r>
              <w:rPr>
                <w:rFonts w:hint="eastAsia"/>
                <w:b/>
                <w:color w:val="auto"/>
                <w:kern w:val="0"/>
                <w:sz w:val="18"/>
                <w:szCs w:val="18"/>
                <w:highlight w:val="none"/>
                <w:u w:val="single"/>
                <w:lang w:val="en-US" w:eastAsia="zh-CN"/>
              </w:rPr>
              <w:t>A</w:t>
            </w:r>
            <w:r>
              <w:rPr>
                <w:b/>
                <w:color w:val="auto"/>
                <w:kern w:val="0"/>
                <w:sz w:val="18"/>
                <w:szCs w:val="18"/>
                <w:highlight w:val="none"/>
                <w:u w:val="single"/>
              </w:rPr>
              <w:t>-1  承重砖的折压比</w:t>
            </w:r>
          </w:p>
          <w:tbl>
            <w:tblPr>
              <w:tblStyle w:val="7"/>
              <w:tblW w:w="8529" w:type="dxa"/>
              <w:tblInd w:w="635" w:type="dxa"/>
              <w:tblLayout w:type="fixed"/>
              <w:tblCellMar>
                <w:top w:w="0" w:type="dxa"/>
                <w:left w:w="108" w:type="dxa"/>
                <w:bottom w:w="0" w:type="dxa"/>
                <w:right w:w="108" w:type="dxa"/>
              </w:tblCellMar>
            </w:tblPr>
            <w:tblGrid>
              <w:gridCol w:w="689"/>
              <w:gridCol w:w="685"/>
              <w:gridCol w:w="444"/>
              <w:gridCol w:w="444"/>
              <w:gridCol w:w="557"/>
              <w:gridCol w:w="527"/>
              <w:gridCol w:w="509"/>
            </w:tblGrid>
            <w:tr w14:paraId="08FA92FB">
              <w:tblPrEx>
                <w:tblCellMar>
                  <w:top w:w="0" w:type="dxa"/>
                  <w:left w:w="108" w:type="dxa"/>
                  <w:bottom w:w="0" w:type="dxa"/>
                  <w:right w:w="108" w:type="dxa"/>
                </w:tblCellMar>
              </w:tblPrEx>
              <w:trPr>
                <w:trHeight w:val="276" w:hRule="atLeast"/>
              </w:trPr>
              <w:tc>
                <w:tcPr>
                  <w:tcW w:w="1633" w:type="dxa"/>
                  <w:vMerge w:val="restart"/>
                  <w:tcBorders>
                    <w:top w:val="single" w:color="auto" w:sz="4" w:space="0"/>
                    <w:left w:val="single" w:color="auto" w:sz="8" w:space="0"/>
                    <w:bottom w:val="single" w:color="auto" w:sz="4" w:space="0"/>
                    <w:right w:val="single" w:color="auto" w:sz="4" w:space="0"/>
                  </w:tcBorders>
                  <w:noWrap/>
                  <w:vAlign w:val="center"/>
                </w:tcPr>
                <w:p w14:paraId="6A88350D">
                  <w:pPr>
                    <w:widowControl/>
                    <w:jc w:val="center"/>
                    <w:rPr>
                      <w:b w:val="0"/>
                      <w:bCs/>
                      <w:color w:val="auto"/>
                      <w:kern w:val="0"/>
                      <w:sz w:val="18"/>
                      <w:szCs w:val="18"/>
                      <w:highlight w:val="none"/>
                      <w:u w:val="single"/>
                    </w:rPr>
                  </w:pPr>
                  <w:r>
                    <w:rPr>
                      <w:b w:val="0"/>
                      <w:bCs/>
                      <w:color w:val="auto"/>
                      <w:kern w:val="0"/>
                      <w:sz w:val="18"/>
                      <w:szCs w:val="18"/>
                      <w:highlight w:val="none"/>
                      <w:u w:val="single"/>
                    </w:rPr>
                    <w:t>砖种类</w:t>
                  </w:r>
                </w:p>
              </w:tc>
              <w:tc>
                <w:tcPr>
                  <w:tcW w:w="1620" w:type="dxa"/>
                  <w:vMerge w:val="restart"/>
                  <w:tcBorders>
                    <w:top w:val="single" w:color="auto" w:sz="4" w:space="0"/>
                    <w:left w:val="single" w:color="auto" w:sz="4" w:space="0"/>
                    <w:bottom w:val="single" w:color="auto" w:sz="4" w:space="0"/>
                    <w:right w:val="single" w:color="auto" w:sz="4" w:space="0"/>
                  </w:tcBorders>
                  <w:noWrap/>
                  <w:vAlign w:val="center"/>
                </w:tcPr>
                <w:p w14:paraId="34B8C3E8">
                  <w:pPr>
                    <w:widowControl/>
                    <w:jc w:val="center"/>
                    <w:rPr>
                      <w:b w:val="0"/>
                      <w:bCs/>
                      <w:color w:val="auto"/>
                      <w:kern w:val="0"/>
                      <w:sz w:val="18"/>
                      <w:szCs w:val="18"/>
                      <w:highlight w:val="none"/>
                      <w:u w:val="single"/>
                    </w:rPr>
                  </w:pPr>
                  <w:r>
                    <w:rPr>
                      <w:b w:val="0"/>
                      <w:bCs/>
                      <w:color w:val="auto"/>
                      <w:kern w:val="0"/>
                      <w:sz w:val="18"/>
                      <w:szCs w:val="18"/>
                      <w:highlight w:val="none"/>
                      <w:u w:val="single"/>
                    </w:rPr>
                    <w:t>高度(mm)</w:t>
                  </w:r>
                </w:p>
              </w:tc>
              <w:tc>
                <w:tcPr>
                  <w:tcW w:w="5276" w:type="dxa"/>
                  <w:gridSpan w:val="5"/>
                  <w:tcBorders>
                    <w:top w:val="single" w:color="auto" w:sz="4" w:space="0"/>
                    <w:left w:val="nil"/>
                    <w:bottom w:val="single" w:color="auto" w:sz="4" w:space="0"/>
                    <w:right w:val="single" w:color="000000" w:sz="8" w:space="0"/>
                  </w:tcBorders>
                  <w:noWrap/>
                  <w:vAlign w:val="center"/>
                </w:tcPr>
                <w:p w14:paraId="4D6379CF">
                  <w:pPr>
                    <w:widowControl/>
                    <w:jc w:val="center"/>
                    <w:rPr>
                      <w:b w:val="0"/>
                      <w:bCs/>
                      <w:color w:val="auto"/>
                      <w:kern w:val="0"/>
                      <w:sz w:val="18"/>
                      <w:szCs w:val="18"/>
                      <w:highlight w:val="none"/>
                      <w:u w:val="single"/>
                    </w:rPr>
                  </w:pPr>
                  <w:r>
                    <w:rPr>
                      <w:b w:val="0"/>
                      <w:bCs/>
                      <w:color w:val="auto"/>
                      <w:kern w:val="0"/>
                      <w:sz w:val="18"/>
                      <w:szCs w:val="18"/>
                      <w:highlight w:val="none"/>
                      <w:u w:val="single"/>
                    </w:rPr>
                    <w:t>砖强度等级</w:t>
                  </w:r>
                </w:p>
              </w:tc>
            </w:tr>
            <w:tr w14:paraId="58C0B6BE">
              <w:tblPrEx>
                <w:tblCellMar>
                  <w:top w:w="0" w:type="dxa"/>
                  <w:left w:w="108" w:type="dxa"/>
                  <w:bottom w:w="0" w:type="dxa"/>
                  <w:right w:w="108" w:type="dxa"/>
                </w:tblCellMar>
              </w:tblPrEx>
              <w:trPr>
                <w:trHeight w:val="276" w:hRule="atLeast"/>
              </w:trPr>
              <w:tc>
                <w:tcPr>
                  <w:tcW w:w="1633" w:type="dxa"/>
                  <w:vMerge w:val="continue"/>
                  <w:tcBorders>
                    <w:top w:val="nil"/>
                    <w:left w:val="single" w:color="auto" w:sz="8" w:space="0"/>
                    <w:bottom w:val="single" w:color="auto" w:sz="4" w:space="0"/>
                    <w:right w:val="single" w:color="auto" w:sz="4" w:space="0"/>
                  </w:tcBorders>
                  <w:noWrap w:val="0"/>
                  <w:vAlign w:val="center"/>
                </w:tcPr>
                <w:p w14:paraId="5100DD42">
                  <w:pPr>
                    <w:widowControl/>
                    <w:jc w:val="left"/>
                    <w:rPr>
                      <w:b w:val="0"/>
                      <w:bCs/>
                      <w:color w:val="auto"/>
                      <w:kern w:val="0"/>
                      <w:sz w:val="18"/>
                      <w:szCs w:val="18"/>
                      <w:highlight w:val="none"/>
                      <w:u w:val="single"/>
                    </w:rPr>
                  </w:pPr>
                </w:p>
              </w:tc>
              <w:tc>
                <w:tcPr>
                  <w:tcW w:w="1620" w:type="dxa"/>
                  <w:vMerge w:val="continue"/>
                  <w:tcBorders>
                    <w:top w:val="nil"/>
                    <w:left w:val="single" w:color="auto" w:sz="4" w:space="0"/>
                    <w:bottom w:val="single" w:color="auto" w:sz="4" w:space="0"/>
                    <w:right w:val="single" w:color="auto" w:sz="4" w:space="0"/>
                  </w:tcBorders>
                  <w:noWrap w:val="0"/>
                  <w:vAlign w:val="center"/>
                </w:tcPr>
                <w:p w14:paraId="0EC1A36B">
                  <w:pPr>
                    <w:widowControl/>
                    <w:jc w:val="left"/>
                    <w:rPr>
                      <w:b w:val="0"/>
                      <w:bCs/>
                      <w:color w:val="auto"/>
                      <w:kern w:val="0"/>
                      <w:sz w:val="18"/>
                      <w:szCs w:val="18"/>
                      <w:highlight w:val="none"/>
                      <w:u w:val="single"/>
                    </w:rPr>
                  </w:pPr>
                </w:p>
              </w:tc>
              <w:tc>
                <w:tcPr>
                  <w:tcW w:w="900" w:type="dxa"/>
                  <w:tcBorders>
                    <w:top w:val="nil"/>
                    <w:left w:val="nil"/>
                    <w:bottom w:val="single" w:color="auto" w:sz="4" w:space="0"/>
                    <w:right w:val="single" w:color="auto" w:sz="4" w:space="0"/>
                  </w:tcBorders>
                  <w:noWrap/>
                  <w:vAlign w:val="center"/>
                </w:tcPr>
                <w:p w14:paraId="32AC18B2">
                  <w:pPr>
                    <w:widowControl/>
                    <w:jc w:val="center"/>
                    <w:rPr>
                      <w:b w:val="0"/>
                      <w:bCs/>
                      <w:color w:val="auto"/>
                      <w:kern w:val="0"/>
                      <w:sz w:val="18"/>
                      <w:szCs w:val="18"/>
                      <w:highlight w:val="none"/>
                      <w:u w:val="single"/>
                    </w:rPr>
                  </w:pPr>
                  <w:r>
                    <w:rPr>
                      <w:b w:val="0"/>
                      <w:bCs/>
                      <w:color w:val="auto"/>
                      <w:kern w:val="0"/>
                      <w:sz w:val="18"/>
                      <w:szCs w:val="18"/>
                      <w:highlight w:val="none"/>
                      <w:u w:val="single"/>
                    </w:rPr>
                    <w:t>MU30</w:t>
                  </w:r>
                </w:p>
              </w:tc>
              <w:tc>
                <w:tcPr>
                  <w:tcW w:w="900" w:type="dxa"/>
                  <w:tcBorders>
                    <w:top w:val="nil"/>
                    <w:left w:val="nil"/>
                    <w:bottom w:val="single" w:color="auto" w:sz="4" w:space="0"/>
                    <w:right w:val="single" w:color="auto" w:sz="4" w:space="0"/>
                  </w:tcBorders>
                  <w:noWrap/>
                  <w:vAlign w:val="center"/>
                </w:tcPr>
                <w:p w14:paraId="3A3619BE">
                  <w:pPr>
                    <w:widowControl/>
                    <w:jc w:val="center"/>
                    <w:rPr>
                      <w:b w:val="0"/>
                      <w:bCs/>
                      <w:color w:val="auto"/>
                      <w:kern w:val="0"/>
                      <w:sz w:val="18"/>
                      <w:szCs w:val="18"/>
                      <w:highlight w:val="none"/>
                      <w:u w:val="single"/>
                    </w:rPr>
                  </w:pPr>
                  <w:r>
                    <w:rPr>
                      <w:b w:val="0"/>
                      <w:bCs/>
                      <w:color w:val="auto"/>
                      <w:kern w:val="0"/>
                      <w:sz w:val="18"/>
                      <w:szCs w:val="18"/>
                      <w:highlight w:val="none"/>
                      <w:u w:val="single"/>
                    </w:rPr>
                    <w:t>MU25</w:t>
                  </w:r>
                </w:p>
              </w:tc>
              <w:tc>
                <w:tcPr>
                  <w:tcW w:w="1236" w:type="dxa"/>
                  <w:tcBorders>
                    <w:top w:val="nil"/>
                    <w:left w:val="nil"/>
                    <w:bottom w:val="single" w:color="auto" w:sz="4" w:space="0"/>
                    <w:right w:val="single" w:color="auto" w:sz="4" w:space="0"/>
                  </w:tcBorders>
                  <w:noWrap/>
                  <w:vAlign w:val="center"/>
                </w:tcPr>
                <w:p w14:paraId="3F2CDE9B">
                  <w:pPr>
                    <w:widowControl/>
                    <w:jc w:val="center"/>
                    <w:rPr>
                      <w:b w:val="0"/>
                      <w:bCs/>
                      <w:color w:val="auto"/>
                      <w:kern w:val="0"/>
                      <w:sz w:val="18"/>
                      <w:szCs w:val="18"/>
                      <w:highlight w:val="none"/>
                      <w:u w:val="single"/>
                    </w:rPr>
                  </w:pPr>
                  <w:r>
                    <w:rPr>
                      <w:b w:val="0"/>
                      <w:bCs/>
                      <w:color w:val="auto"/>
                      <w:kern w:val="0"/>
                      <w:sz w:val="18"/>
                      <w:szCs w:val="18"/>
                      <w:highlight w:val="none"/>
                      <w:u w:val="single"/>
                    </w:rPr>
                    <w:t>MU20</w:t>
                  </w:r>
                </w:p>
              </w:tc>
              <w:tc>
                <w:tcPr>
                  <w:tcW w:w="1146" w:type="dxa"/>
                  <w:tcBorders>
                    <w:top w:val="nil"/>
                    <w:left w:val="nil"/>
                    <w:bottom w:val="single" w:color="auto" w:sz="4" w:space="0"/>
                    <w:right w:val="single" w:color="auto" w:sz="4" w:space="0"/>
                  </w:tcBorders>
                  <w:noWrap/>
                  <w:vAlign w:val="center"/>
                </w:tcPr>
                <w:p w14:paraId="0C25B012">
                  <w:pPr>
                    <w:widowControl/>
                    <w:jc w:val="center"/>
                    <w:rPr>
                      <w:b w:val="0"/>
                      <w:bCs/>
                      <w:color w:val="auto"/>
                      <w:kern w:val="0"/>
                      <w:sz w:val="18"/>
                      <w:szCs w:val="18"/>
                      <w:highlight w:val="none"/>
                      <w:u w:val="single"/>
                    </w:rPr>
                  </w:pPr>
                  <w:r>
                    <w:rPr>
                      <w:b w:val="0"/>
                      <w:bCs/>
                      <w:color w:val="auto"/>
                      <w:kern w:val="0"/>
                      <w:sz w:val="18"/>
                      <w:szCs w:val="18"/>
                      <w:highlight w:val="none"/>
                      <w:u w:val="single"/>
                    </w:rPr>
                    <w:t>MU15</w:t>
                  </w:r>
                </w:p>
              </w:tc>
              <w:tc>
                <w:tcPr>
                  <w:tcW w:w="1094" w:type="dxa"/>
                  <w:tcBorders>
                    <w:top w:val="nil"/>
                    <w:left w:val="nil"/>
                    <w:bottom w:val="single" w:color="auto" w:sz="4" w:space="0"/>
                    <w:right w:val="single" w:color="auto" w:sz="8" w:space="0"/>
                  </w:tcBorders>
                  <w:noWrap/>
                  <w:vAlign w:val="center"/>
                </w:tcPr>
                <w:p w14:paraId="5A3084B6">
                  <w:pPr>
                    <w:widowControl/>
                    <w:jc w:val="center"/>
                    <w:rPr>
                      <w:b w:val="0"/>
                      <w:bCs/>
                      <w:color w:val="auto"/>
                      <w:kern w:val="0"/>
                      <w:sz w:val="18"/>
                      <w:szCs w:val="18"/>
                      <w:highlight w:val="none"/>
                      <w:u w:val="single"/>
                    </w:rPr>
                  </w:pPr>
                  <w:r>
                    <w:rPr>
                      <w:b w:val="0"/>
                      <w:bCs/>
                      <w:color w:val="auto"/>
                      <w:kern w:val="0"/>
                      <w:sz w:val="18"/>
                      <w:szCs w:val="18"/>
                      <w:highlight w:val="none"/>
                      <w:u w:val="single"/>
                    </w:rPr>
                    <w:t>MU10</w:t>
                  </w:r>
                </w:p>
              </w:tc>
            </w:tr>
            <w:tr w14:paraId="33219137">
              <w:tblPrEx>
                <w:tblCellMar>
                  <w:top w:w="0" w:type="dxa"/>
                  <w:left w:w="108" w:type="dxa"/>
                  <w:bottom w:w="0" w:type="dxa"/>
                  <w:right w:w="108" w:type="dxa"/>
                </w:tblCellMar>
              </w:tblPrEx>
              <w:trPr>
                <w:trHeight w:val="276" w:hRule="atLeast"/>
              </w:trPr>
              <w:tc>
                <w:tcPr>
                  <w:tcW w:w="1633" w:type="dxa"/>
                  <w:vMerge w:val="continue"/>
                  <w:tcBorders>
                    <w:top w:val="nil"/>
                    <w:left w:val="single" w:color="auto" w:sz="8" w:space="0"/>
                    <w:bottom w:val="single" w:color="auto" w:sz="4" w:space="0"/>
                    <w:right w:val="single" w:color="auto" w:sz="4" w:space="0"/>
                  </w:tcBorders>
                  <w:noWrap w:val="0"/>
                  <w:vAlign w:val="center"/>
                </w:tcPr>
                <w:p w14:paraId="6E2B1F41">
                  <w:pPr>
                    <w:widowControl/>
                    <w:jc w:val="left"/>
                    <w:rPr>
                      <w:b w:val="0"/>
                      <w:bCs/>
                      <w:color w:val="auto"/>
                      <w:kern w:val="0"/>
                      <w:sz w:val="18"/>
                      <w:szCs w:val="18"/>
                      <w:highlight w:val="none"/>
                      <w:u w:val="single"/>
                    </w:rPr>
                  </w:pPr>
                </w:p>
              </w:tc>
              <w:tc>
                <w:tcPr>
                  <w:tcW w:w="1620" w:type="dxa"/>
                  <w:vMerge w:val="continue"/>
                  <w:tcBorders>
                    <w:top w:val="nil"/>
                    <w:left w:val="single" w:color="auto" w:sz="4" w:space="0"/>
                    <w:bottom w:val="single" w:color="auto" w:sz="4" w:space="0"/>
                    <w:right w:val="single" w:color="auto" w:sz="4" w:space="0"/>
                  </w:tcBorders>
                  <w:noWrap w:val="0"/>
                  <w:vAlign w:val="center"/>
                </w:tcPr>
                <w:p w14:paraId="1790043A">
                  <w:pPr>
                    <w:widowControl/>
                    <w:jc w:val="left"/>
                    <w:rPr>
                      <w:b w:val="0"/>
                      <w:bCs/>
                      <w:color w:val="auto"/>
                      <w:kern w:val="0"/>
                      <w:sz w:val="18"/>
                      <w:szCs w:val="18"/>
                      <w:highlight w:val="none"/>
                      <w:u w:val="single"/>
                    </w:rPr>
                  </w:pPr>
                </w:p>
              </w:tc>
              <w:tc>
                <w:tcPr>
                  <w:tcW w:w="5276" w:type="dxa"/>
                  <w:gridSpan w:val="5"/>
                  <w:tcBorders>
                    <w:top w:val="single" w:color="auto" w:sz="4" w:space="0"/>
                    <w:left w:val="nil"/>
                    <w:bottom w:val="single" w:color="auto" w:sz="4" w:space="0"/>
                    <w:right w:val="single" w:color="000000" w:sz="8" w:space="0"/>
                  </w:tcBorders>
                  <w:noWrap/>
                  <w:vAlign w:val="center"/>
                </w:tcPr>
                <w:p w14:paraId="0D02A338">
                  <w:pPr>
                    <w:widowControl/>
                    <w:jc w:val="center"/>
                    <w:rPr>
                      <w:b w:val="0"/>
                      <w:bCs/>
                      <w:color w:val="auto"/>
                      <w:kern w:val="0"/>
                      <w:sz w:val="18"/>
                      <w:szCs w:val="18"/>
                      <w:highlight w:val="none"/>
                      <w:u w:val="single"/>
                    </w:rPr>
                  </w:pPr>
                  <w:r>
                    <w:rPr>
                      <w:b w:val="0"/>
                      <w:bCs/>
                      <w:color w:val="auto"/>
                      <w:kern w:val="0"/>
                      <w:sz w:val="18"/>
                      <w:szCs w:val="18"/>
                      <w:highlight w:val="none"/>
                      <w:u w:val="single"/>
                    </w:rPr>
                    <w:t>折压比</w:t>
                  </w:r>
                </w:p>
              </w:tc>
            </w:tr>
            <w:tr w14:paraId="3A6BBECA">
              <w:tblPrEx>
                <w:tblCellMar>
                  <w:top w:w="0" w:type="dxa"/>
                  <w:left w:w="108" w:type="dxa"/>
                  <w:bottom w:w="0" w:type="dxa"/>
                  <w:right w:w="108" w:type="dxa"/>
                </w:tblCellMar>
              </w:tblPrEx>
              <w:trPr>
                <w:trHeight w:val="276" w:hRule="atLeast"/>
              </w:trPr>
              <w:tc>
                <w:tcPr>
                  <w:tcW w:w="1633" w:type="dxa"/>
                  <w:tcBorders>
                    <w:top w:val="nil"/>
                    <w:left w:val="single" w:color="auto" w:sz="8" w:space="0"/>
                    <w:bottom w:val="single" w:color="auto" w:sz="4" w:space="0"/>
                    <w:right w:val="single" w:color="auto" w:sz="4" w:space="0"/>
                  </w:tcBorders>
                  <w:noWrap/>
                  <w:vAlign w:val="center"/>
                </w:tcPr>
                <w:p w14:paraId="2C46C8D8">
                  <w:pPr>
                    <w:widowControl/>
                    <w:jc w:val="center"/>
                    <w:rPr>
                      <w:b w:val="0"/>
                      <w:bCs/>
                      <w:color w:val="auto"/>
                      <w:kern w:val="0"/>
                      <w:sz w:val="18"/>
                      <w:szCs w:val="18"/>
                      <w:highlight w:val="none"/>
                      <w:u w:val="single"/>
                    </w:rPr>
                  </w:pPr>
                  <w:r>
                    <w:rPr>
                      <w:b w:val="0"/>
                      <w:bCs/>
                      <w:color w:val="auto"/>
                      <w:kern w:val="0"/>
                      <w:sz w:val="18"/>
                      <w:szCs w:val="18"/>
                      <w:highlight w:val="none"/>
                      <w:u w:val="single"/>
                    </w:rPr>
                    <w:t>蒸压普通砖</w:t>
                  </w:r>
                </w:p>
              </w:tc>
              <w:tc>
                <w:tcPr>
                  <w:tcW w:w="1620" w:type="dxa"/>
                  <w:tcBorders>
                    <w:top w:val="nil"/>
                    <w:left w:val="nil"/>
                    <w:bottom w:val="single" w:color="auto" w:sz="4" w:space="0"/>
                    <w:right w:val="single" w:color="auto" w:sz="4" w:space="0"/>
                  </w:tcBorders>
                  <w:noWrap/>
                  <w:vAlign w:val="center"/>
                </w:tcPr>
                <w:p w14:paraId="6E41C3D3">
                  <w:pPr>
                    <w:widowControl/>
                    <w:jc w:val="center"/>
                    <w:rPr>
                      <w:b w:val="0"/>
                      <w:bCs/>
                      <w:color w:val="auto"/>
                      <w:kern w:val="0"/>
                      <w:sz w:val="18"/>
                      <w:szCs w:val="18"/>
                      <w:highlight w:val="none"/>
                      <w:u w:val="single"/>
                    </w:rPr>
                  </w:pPr>
                  <w:r>
                    <w:rPr>
                      <w:b w:val="0"/>
                      <w:bCs/>
                      <w:color w:val="auto"/>
                      <w:kern w:val="0"/>
                      <w:sz w:val="18"/>
                      <w:szCs w:val="18"/>
                      <w:highlight w:val="none"/>
                      <w:u w:val="single"/>
                    </w:rPr>
                    <w:t>53</w:t>
                  </w:r>
                </w:p>
              </w:tc>
              <w:tc>
                <w:tcPr>
                  <w:tcW w:w="900" w:type="dxa"/>
                  <w:tcBorders>
                    <w:top w:val="nil"/>
                    <w:left w:val="nil"/>
                    <w:bottom w:val="single" w:color="auto" w:sz="4" w:space="0"/>
                    <w:right w:val="single" w:color="auto" w:sz="4" w:space="0"/>
                  </w:tcBorders>
                  <w:noWrap/>
                  <w:vAlign w:val="center"/>
                </w:tcPr>
                <w:p w14:paraId="0F8AA79E">
                  <w:pPr>
                    <w:widowControl/>
                    <w:jc w:val="center"/>
                    <w:rPr>
                      <w:b w:val="0"/>
                      <w:bCs/>
                      <w:color w:val="auto"/>
                      <w:kern w:val="0"/>
                      <w:sz w:val="18"/>
                      <w:szCs w:val="18"/>
                      <w:highlight w:val="none"/>
                      <w:u w:val="single"/>
                    </w:rPr>
                  </w:pPr>
                  <w:r>
                    <w:rPr>
                      <w:b w:val="0"/>
                      <w:bCs/>
                      <w:color w:val="auto"/>
                      <w:kern w:val="0"/>
                      <w:sz w:val="18"/>
                      <w:szCs w:val="18"/>
                      <w:highlight w:val="none"/>
                      <w:u w:val="single"/>
                    </w:rPr>
                    <w:t>0.16</w:t>
                  </w:r>
                </w:p>
              </w:tc>
              <w:tc>
                <w:tcPr>
                  <w:tcW w:w="900" w:type="dxa"/>
                  <w:tcBorders>
                    <w:top w:val="nil"/>
                    <w:left w:val="nil"/>
                    <w:bottom w:val="single" w:color="auto" w:sz="4" w:space="0"/>
                    <w:right w:val="single" w:color="auto" w:sz="4" w:space="0"/>
                  </w:tcBorders>
                  <w:noWrap/>
                  <w:vAlign w:val="center"/>
                </w:tcPr>
                <w:p w14:paraId="7649952D">
                  <w:pPr>
                    <w:widowControl/>
                    <w:jc w:val="center"/>
                    <w:rPr>
                      <w:b w:val="0"/>
                      <w:bCs/>
                      <w:color w:val="auto"/>
                      <w:kern w:val="0"/>
                      <w:sz w:val="18"/>
                      <w:szCs w:val="18"/>
                      <w:highlight w:val="none"/>
                      <w:u w:val="single"/>
                    </w:rPr>
                  </w:pPr>
                  <w:r>
                    <w:rPr>
                      <w:b w:val="0"/>
                      <w:bCs/>
                      <w:color w:val="auto"/>
                      <w:kern w:val="0"/>
                      <w:sz w:val="18"/>
                      <w:szCs w:val="18"/>
                      <w:highlight w:val="none"/>
                      <w:u w:val="single"/>
                    </w:rPr>
                    <w:t>0.18</w:t>
                  </w:r>
                </w:p>
              </w:tc>
              <w:tc>
                <w:tcPr>
                  <w:tcW w:w="1236" w:type="dxa"/>
                  <w:tcBorders>
                    <w:top w:val="nil"/>
                    <w:left w:val="nil"/>
                    <w:bottom w:val="single" w:color="auto" w:sz="4" w:space="0"/>
                    <w:right w:val="single" w:color="auto" w:sz="4" w:space="0"/>
                  </w:tcBorders>
                  <w:noWrap/>
                  <w:vAlign w:val="center"/>
                </w:tcPr>
                <w:p w14:paraId="79122062">
                  <w:pPr>
                    <w:widowControl/>
                    <w:jc w:val="center"/>
                    <w:rPr>
                      <w:b w:val="0"/>
                      <w:bCs/>
                      <w:color w:val="auto"/>
                      <w:kern w:val="0"/>
                      <w:sz w:val="18"/>
                      <w:szCs w:val="18"/>
                      <w:highlight w:val="none"/>
                      <w:u w:val="single"/>
                    </w:rPr>
                  </w:pPr>
                  <w:r>
                    <w:rPr>
                      <w:b w:val="0"/>
                      <w:bCs/>
                      <w:color w:val="auto"/>
                      <w:kern w:val="0"/>
                      <w:sz w:val="18"/>
                      <w:szCs w:val="18"/>
                      <w:highlight w:val="none"/>
                      <w:u w:val="single"/>
                    </w:rPr>
                    <w:t>0.20</w:t>
                  </w:r>
                </w:p>
              </w:tc>
              <w:tc>
                <w:tcPr>
                  <w:tcW w:w="1146" w:type="dxa"/>
                  <w:tcBorders>
                    <w:top w:val="nil"/>
                    <w:left w:val="nil"/>
                    <w:bottom w:val="single" w:color="auto" w:sz="4" w:space="0"/>
                    <w:right w:val="single" w:color="auto" w:sz="4" w:space="0"/>
                  </w:tcBorders>
                  <w:noWrap/>
                  <w:vAlign w:val="center"/>
                </w:tcPr>
                <w:p w14:paraId="2DE5B3A3">
                  <w:pPr>
                    <w:widowControl/>
                    <w:jc w:val="center"/>
                    <w:rPr>
                      <w:b w:val="0"/>
                      <w:bCs/>
                      <w:color w:val="auto"/>
                      <w:kern w:val="0"/>
                      <w:sz w:val="18"/>
                      <w:szCs w:val="18"/>
                      <w:highlight w:val="none"/>
                      <w:u w:val="single"/>
                    </w:rPr>
                  </w:pPr>
                  <w:r>
                    <w:rPr>
                      <w:b w:val="0"/>
                      <w:bCs/>
                      <w:color w:val="auto"/>
                      <w:kern w:val="0"/>
                      <w:sz w:val="18"/>
                      <w:szCs w:val="18"/>
                      <w:highlight w:val="none"/>
                      <w:u w:val="single"/>
                    </w:rPr>
                    <w:t>0.25</w:t>
                  </w:r>
                </w:p>
              </w:tc>
              <w:tc>
                <w:tcPr>
                  <w:tcW w:w="1094" w:type="dxa"/>
                  <w:tcBorders>
                    <w:top w:val="nil"/>
                    <w:left w:val="nil"/>
                    <w:bottom w:val="single" w:color="auto" w:sz="4" w:space="0"/>
                    <w:right w:val="single" w:color="auto" w:sz="8" w:space="0"/>
                  </w:tcBorders>
                  <w:noWrap/>
                  <w:vAlign w:val="center"/>
                </w:tcPr>
                <w:p w14:paraId="57D31487">
                  <w:pPr>
                    <w:widowControl/>
                    <w:jc w:val="center"/>
                    <w:rPr>
                      <w:b w:val="0"/>
                      <w:bCs/>
                      <w:color w:val="auto"/>
                      <w:kern w:val="0"/>
                      <w:sz w:val="18"/>
                      <w:szCs w:val="18"/>
                      <w:highlight w:val="none"/>
                      <w:u w:val="single"/>
                    </w:rPr>
                  </w:pPr>
                  <w:r>
                    <w:rPr>
                      <w:b w:val="0"/>
                      <w:bCs/>
                      <w:color w:val="auto"/>
                      <w:kern w:val="0"/>
                      <w:sz w:val="18"/>
                      <w:szCs w:val="18"/>
                      <w:highlight w:val="none"/>
                      <w:u w:val="single"/>
                    </w:rPr>
                    <w:t>—</w:t>
                  </w:r>
                </w:p>
              </w:tc>
            </w:tr>
            <w:tr w14:paraId="68F6E3BB">
              <w:tblPrEx>
                <w:tblCellMar>
                  <w:top w:w="0" w:type="dxa"/>
                  <w:left w:w="108" w:type="dxa"/>
                  <w:bottom w:w="0" w:type="dxa"/>
                  <w:right w:w="108" w:type="dxa"/>
                </w:tblCellMar>
              </w:tblPrEx>
              <w:trPr>
                <w:trHeight w:val="291" w:hRule="atLeast"/>
              </w:trPr>
              <w:tc>
                <w:tcPr>
                  <w:tcW w:w="1633" w:type="dxa"/>
                  <w:tcBorders>
                    <w:top w:val="single" w:color="auto" w:sz="4" w:space="0"/>
                    <w:left w:val="single" w:color="auto" w:sz="8" w:space="0"/>
                    <w:bottom w:val="single" w:color="auto" w:sz="4" w:space="0"/>
                    <w:right w:val="single" w:color="auto" w:sz="4" w:space="0"/>
                  </w:tcBorders>
                  <w:noWrap/>
                  <w:vAlign w:val="center"/>
                </w:tcPr>
                <w:p w14:paraId="135A5C65">
                  <w:pPr>
                    <w:widowControl/>
                    <w:jc w:val="center"/>
                    <w:rPr>
                      <w:b w:val="0"/>
                      <w:bCs/>
                      <w:color w:val="auto"/>
                      <w:kern w:val="0"/>
                      <w:sz w:val="18"/>
                      <w:szCs w:val="18"/>
                      <w:highlight w:val="none"/>
                      <w:u w:val="single"/>
                    </w:rPr>
                  </w:pPr>
                  <w:r>
                    <w:rPr>
                      <w:b w:val="0"/>
                      <w:bCs/>
                      <w:color w:val="auto"/>
                      <w:kern w:val="0"/>
                      <w:sz w:val="18"/>
                      <w:szCs w:val="18"/>
                      <w:highlight w:val="none"/>
                      <w:u w:val="single"/>
                    </w:rPr>
                    <w:t>多孔砖</w:t>
                  </w:r>
                </w:p>
              </w:tc>
              <w:tc>
                <w:tcPr>
                  <w:tcW w:w="1620" w:type="dxa"/>
                  <w:tcBorders>
                    <w:top w:val="single" w:color="auto" w:sz="4" w:space="0"/>
                    <w:left w:val="nil"/>
                    <w:bottom w:val="single" w:color="auto" w:sz="4" w:space="0"/>
                    <w:right w:val="single" w:color="auto" w:sz="4" w:space="0"/>
                  </w:tcBorders>
                  <w:noWrap/>
                  <w:vAlign w:val="center"/>
                </w:tcPr>
                <w:p w14:paraId="41A76D2C">
                  <w:pPr>
                    <w:widowControl/>
                    <w:jc w:val="center"/>
                    <w:rPr>
                      <w:b w:val="0"/>
                      <w:bCs/>
                      <w:color w:val="auto"/>
                      <w:kern w:val="0"/>
                      <w:sz w:val="18"/>
                      <w:szCs w:val="18"/>
                      <w:highlight w:val="none"/>
                      <w:u w:val="single"/>
                    </w:rPr>
                  </w:pPr>
                  <w:r>
                    <w:rPr>
                      <w:b w:val="0"/>
                      <w:bCs/>
                      <w:color w:val="auto"/>
                      <w:kern w:val="0"/>
                      <w:sz w:val="18"/>
                      <w:szCs w:val="18"/>
                      <w:highlight w:val="none"/>
                      <w:u w:val="single"/>
                    </w:rPr>
                    <w:t>90</w:t>
                  </w:r>
                </w:p>
              </w:tc>
              <w:tc>
                <w:tcPr>
                  <w:tcW w:w="900" w:type="dxa"/>
                  <w:tcBorders>
                    <w:top w:val="single" w:color="auto" w:sz="4" w:space="0"/>
                    <w:left w:val="nil"/>
                    <w:bottom w:val="single" w:color="auto" w:sz="4" w:space="0"/>
                    <w:right w:val="single" w:color="auto" w:sz="4" w:space="0"/>
                  </w:tcBorders>
                  <w:noWrap/>
                  <w:vAlign w:val="center"/>
                </w:tcPr>
                <w:p w14:paraId="35B0CAEF">
                  <w:pPr>
                    <w:widowControl/>
                    <w:jc w:val="center"/>
                    <w:rPr>
                      <w:b w:val="0"/>
                      <w:bCs/>
                      <w:color w:val="auto"/>
                      <w:kern w:val="0"/>
                      <w:sz w:val="18"/>
                      <w:szCs w:val="18"/>
                      <w:highlight w:val="none"/>
                      <w:u w:val="single"/>
                    </w:rPr>
                  </w:pPr>
                  <w:r>
                    <w:rPr>
                      <w:b w:val="0"/>
                      <w:bCs/>
                      <w:color w:val="auto"/>
                      <w:kern w:val="0"/>
                      <w:sz w:val="18"/>
                      <w:szCs w:val="18"/>
                      <w:highlight w:val="none"/>
                      <w:u w:val="single"/>
                    </w:rPr>
                    <w:t>0.21</w:t>
                  </w:r>
                </w:p>
              </w:tc>
              <w:tc>
                <w:tcPr>
                  <w:tcW w:w="900" w:type="dxa"/>
                  <w:tcBorders>
                    <w:top w:val="single" w:color="auto" w:sz="4" w:space="0"/>
                    <w:left w:val="nil"/>
                    <w:bottom w:val="single" w:color="auto" w:sz="4" w:space="0"/>
                    <w:right w:val="single" w:color="auto" w:sz="4" w:space="0"/>
                  </w:tcBorders>
                  <w:noWrap/>
                  <w:vAlign w:val="center"/>
                </w:tcPr>
                <w:p w14:paraId="78536AD4">
                  <w:pPr>
                    <w:widowControl/>
                    <w:jc w:val="center"/>
                    <w:rPr>
                      <w:b w:val="0"/>
                      <w:bCs/>
                      <w:color w:val="auto"/>
                      <w:kern w:val="0"/>
                      <w:sz w:val="18"/>
                      <w:szCs w:val="18"/>
                      <w:highlight w:val="none"/>
                      <w:u w:val="single"/>
                    </w:rPr>
                  </w:pPr>
                  <w:r>
                    <w:rPr>
                      <w:b w:val="0"/>
                      <w:bCs/>
                      <w:color w:val="auto"/>
                      <w:kern w:val="0"/>
                      <w:sz w:val="18"/>
                      <w:szCs w:val="18"/>
                      <w:highlight w:val="none"/>
                      <w:u w:val="single"/>
                    </w:rPr>
                    <w:t>0.23</w:t>
                  </w:r>
                </w:p>
              </w:tc>
              <w:tc>
                <w:tcPr>
                  <w:tcW w:w="1236" w:type="dxa"/>
                  <w:tcBorders>
                    <w:top w:val="single" w:color="auto" w:sz="4" w:space="0"/>
                    <w:left w:val="nil"/>
                    <w:bottom w:val="single" w:color="auto" w:sz="4" w:space="0"/>
                    <w:right w:val="single" w:color="auto" w:sz="4" w:space="0"/>
                  </w:tcBorders>
                  <w:noWrap/>
                  <w:vAlign w:val="center"/>
                </w:tcPr>
                <w:p w14:paraId="4A24E524">
                  <w:pPr>
                    <w:widowControl/>
                    <w:jc w:val="center"/>
                    <w:rPr>
                      <w:b w:val="0"/>
                      <w:bCs/>
                      <w:color w:val="auto"/>
                      <w:kern w:val="0"/>
                      <w:sz w:val="18"/>
                      <w:szCs w:val="18"/>
                      <w:highlight w:val="none"/>
                      <w:u w:val="single"/>
                    </w:rPr>
                  </w:pPr>
                  <w:r>
                    <w:rPr>
                      <w:b w:val="0"/>
                      <w:bCs/>
                      <w:color w:val="auto"/>
                      <w:kern w:val="0"/>
                      <w:sz w:val="18"/>
                      <w:szCs w:val="18"/>
                      <w:highlight w:val="none"/>
                      <w:u w:val="single"/>
                    </w:rPr>
                    <w:t>0.24</w:t>
                  </w:r>
                </w:p>
              </w:tc>
              <w:tc>
                <w:tcPr>
                  <w:tcW w:w="1146" w:type="dxa"/>
                  <w:tcBorders>
                    <w:top w:val="single" w:color="auto" w:sz="4" w:space="0"/>
                    <w:left w:val="nil"/>
                    <w:bottom w:val="single" w:color="auto" w:sz="4" w:space="0"/>
                    <w:right w:val="single" w:color="auto" w:sz="4" w:space="0"/>
                  </w:tcBorders>
                  <w:noWrap/>
                  <w:vAlign w:val="center"/>
                </w:tcPr>
                <w:p w14:paraId="0A6C5186">
                  <w:pPr>
                    <w:widowControl/>
                    <w:jc w:val="center"/>
                    <w:rPr>
                      <w:b w:val="0"/>
                      <w:bCs/>
                      <w:color w:val="auto"/>
                      <w:kern w:val="0"/>
                      <w:sz w:val="18"/>
                      <w:szCs w:val="18"/>
                      <w:highlight w:val="none"/>
                      <w:u w:val="single"/>
                    </w:rPr>
                  </w:pPr>
                  <w:r>
                    <w:rPr>
                      <w:b w:val="0"/>
                      <w:bCs/>
                      <w:color w:val="auto"/>
                      <w:kern w:val="0"/>
                      <w:sz w:val="18"/>
                      <w:szCs w:val="18"/>
                      <w:highlight w:val="none"/>
                      <w:u w:val="single"/>
                    </w:rPr>
                    <w:t>0.27</w:t>
                  </w:r>
                </w:p>
              </w:tc>
              <w:tc>
                <w:tcPr>
                  <w:tcW w:w="1094" w:type="dxa"/>
                  <w:tcBorders>
                    <w:top w:val="single" w:color="auto" w:sz="4" w:space="0"/>
                    <w:left w:val="nil"/>
                    <w:bottom w:val="single" w:color="auto" w:sz="4" w:space="0"/>
                    <w:right w:val="single" w:color="auto" w:sz="8" w:space="0"/>
                  </w:tcBorders>
                  <w:noWrap/>
                  <w:vAlign w:val="center"/>
                </w:tcPr>
                <w:p w14:paraId="1E5E24C2">
                  <w:pPr>
                    <w:widowControl/>
                    <w:jc w:val="center"/>
                    <w:rPr>
                      <w:b w:val="0"/>
                      <w:bCs/>
                      <w:color w:val="auto"/>
                      <w:kern w:val="0"/>
                      <w:sz w:val="18"/>
                      <w:szCs w:val="18"/>
                      <w:highlight w:val="none"/>
                      <w:u w:val="single"/>
                    </w:rPr>
                  </w:pPr>
                  <w:r>
                    <w:rPr>
                      <w:b w:val="0"/>
                      <w:bCs/>
                      <w:color w:val="auto"/>
                      <w:kern w:val="0"/>
                      <w:sz w:val="18"/>
                      <w:szCs w:val="18"/>
                      <w:highlight w:val="none"/>
                      <w:u w:val="single"/>
                    </w:rPr>
                    <w:t>0.32</w:t>
                  </w:r>
                </w:p>
              </w:tc>
            </w:tr>
          </w:tbl>
          <w:p w14:paraId="109A6ACA">
            <w:pPr>
              <w:ind w:left="1435" w:leftChars="340" w:hanging="721" w:hangingChars="401"/>
              <w:rPr>
                <w:b w:val="0"/>
                <w:bCs/>
                <w:color w:val="auto"/>
                <w:sz w:val="18"/>
                <w:szCs w:val="18"/>
                <w:highlight w:val="none"/>
                <w:u w:val="single"/>
              </w:rPr>
            </w:pPr>
            <w:r>
              <w:rPr>
                <w:b w:val="0"/>
                <w:bCs/>
                <w:color w:val="auto"/>
                <w:sz w:val="18"/>
                <w:szCs w:val="18"/>
                <w:highlight w:val="none"/>
                <w:u w:val="single"/>
              </w:rPr>
              <w:t>注：1  蒸压普通砖包括蒸压灰砂实心砖和蒸压粉煤灰实心砖；</w:t>
            </w:r>
          </w:p>
          <w:p w14:paraId="3FED70A8">
            <w:pPr>
              <w:ind w:left="1431" w:leftChars="510" w:hanging="360" w:hangingChars="200"/>
              <w:rPr>
                <w:rFonts w:hint="eastAsia" w:ascii="黑体" w:hAnsi="黑体" w:eastAsia="黑体" w:cs="黑体"/>
                <w:b/>
                <w:color w:val="auto"/>
                <w:sz w:val="18"/>
                <w:szCs w:val="18"/>
                <w:highlight w:val="none"/>
                <w:bdr w:val="single" w:sz="0" w:space="0"/>
              </w:rPr>
            </w:pPr>
            <w:r>
              <w:rPr>
                <w:b w:val="0"/>
                <w:bCs/>
                <w:color w:val="auto"/>
                <w:sz w:val="18"/>
                <w:szCs w:val="18"/>
                <w:highlight w:val="none"/>
                <w:u w:val="single"/>
              </w:rPr>
              <w:t>2  多孔砖包括烧结多孔砖和混凝土多孔砖。</w:t>
            </w:r>
          </w:p>
          <w:p w14:paraId="25B3A331">
            <w:pPr>
              <w:jc w:val="center"/>
              <w:rPr>
                <w:b/>
                <w:bCs w:val="0"/>
                <w:color w:val="auto"/>
                <w:sz w:val="18"/>
                <w:szCs w:val="18"/>
                <w:highlight w:val="none"/>
              </w:rPr>
            </w:pPr>
            <w:r>
              <w:rPr>
                <w:b/>
                <w:bCs w:val="0"/>
                <w:color w:val="auto"/>
                <w:kern w:val="0"/>
                <w:sz w:val="18"/>
                <w:szCs w:val="18"/>
                <w:highlight w:val="none"/>
              </w:rPr>
              <w:t>表3.2.2-2  蒸压加气混凝土的劈压比</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4"/>
              <w:gridCol w:w="641"/>
              <w:gridCol w:w="709"/>
              <w:gridCol w:w="832"/>
            </w:tblGrid>
            <w:tr w14:paraId="733E9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4" w:type="dxa"/>
                  <w:noWrap w:val="0"/>
                  <w:vAlign w:val="top"/>
                </w:tcPr>
                <w:p w14:paraId="30692FED">
                  <w:pPr>
                    <w:jc w:val="left"/>
                    <w:rPr>
                      <w:b w:val="0"/>
                      <w:bCs/>
                      <w:color w:val="auto"/>
                      <w:sz w:val="18"/>
                      <w:szCs w:val="18"/>
                      <w:highlight w:val="none"/>
                    </w:rPr>
                  </w:pPr>
                  <w:r>
                    <w:rPr>
                      <w:b w:val="0"/>
                      <w:bCs/>
                      <w:color w:val="auto"/>
                      <w:sz w:val="18"/>
                      <w:szCs w:val="18"/>
                      <w:highlight w:val="none"/>
                    </w:rPr>
                    <w:t>强度等级</w:t>
                  </w:r>
                </w:p>
              </w:tc>
              <w:tc>
                <w:tcPr>
                  <w:tcW w:w="641" w:type="dxa"/>
                  <w:noWrap w:val="0"/>
                  <w:vAlign w:val="top"/>
                </w:tcPr>
                <w:p w14:paraId="39EF80B7">
                  <w:pPr>
                    <w:jc w:val="center"/>
                    <w:rPr>
                      <w:b w:val="0"/>
                      <w:bCs/>
                      <w:color w:val="auto"/>
                      <w:sz w:val="18"/>
                      <w:szCs w:val="18"/>
                      <w:highlight w:val="none"/>
                    </w:rPr>
                  </w:pPr>
                  <w:r>
                    <w:rPr>
                      <w:b w:val="0"/>
                      <w:bCs/>
                      <w:color w:val="auto"/>
                      <w:sz w:val="18"/>
                      <w:szCs w:val="18"/>
                      <w:highlight w:val="none"/>
                    </w:rPr>
                    <w:t>A3.5</w:t>
                  </w:r>
                </w:p>
              </w:tc>
              <w:tc>
                <w:tcPr>
                  <w:tcW w:w="709" w:type="dxa"/>
                  <w:noWrap w:val="0"/>
                  <w:vAlign w:val="top"/>
                </w:tcPr>
                <w:p w14:paraId="6E455FA1">
                  <w:pPr>
                    <w:jc w:val="center"/>
                    <w:rPr>
                      <w:b w:val="0"/>
                      <w:bCs/>
                      <w:color w:val="auto"/>
                      <w:sz w:val="18"/>
                      <w:szCs w:val="18"/>
                      <w:highlight w:val="none"/>
                    </w:rPr>
                  </w:pPr>
                  <w:r>
                    <w:rPr>
                      <w:b w:val="0"/>
                      <w:bCs/>
                      <w:color w:val="auto"/>
                      <w:sz w:val="18"/>
                      <w:szCs w:val="18"/>
                      <w:highlight w:val="none"/>
                    </w:rPr>
                    <w:t>A5.0</w:t>
                  </w:r>
                </w:p>
              </w:tc>
              <w:tc>
                <w:tcPr>
                  <w:tcW w:w="832" w:type="dxa"/>
                  <w:noWrap w:val="0"/>
                  <w:vAlign w:val="top"/>
                </w:tcPr>
                <w:p w14:paraId="6B81965C">
                  <w:pPr>
                    <w:jc w:val="center"/>
                    <w:rPr>
                      <w:b w:val="0"/>
                      <w:bCs/>
                      <w:color w:val="auto"/>
                      <w:sz w:val="18"/>
                      <w:szCs w:val="18"/>
                      <w:highlight w:val="none"/>
                      <w:bdr w:val="single" w:color="000000" w:sz="0" w:space="0"/>
                    </w:rPr>
                  </w:pPr>
                  <w:r>
                    <w:rPr>
                      <w:b w:val="0"/>
                      <w:bCs/>
                      <w:color w:val="auto"/>
                      <w:sz w:val="18"/>
                      <w:szCs w:val="18"/>
                      <w:highlight w:val="none"/>
                      <w:bdr w:val="single" w:color="000000" w:sz="0" w:space="0"/>
                    </w:rPr>
                    <w:t>A7.5</w:t>
                  </w:r>
                </w:p>
              </w:tc>
            </w:tr>
            <w:tr w14:paraId="61BEA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4" w:type="dxa"/>
                  <w:noWrap w:val="0"/>
                  <w:vAlign w:val="top"/>
                </w:tcPr>
                <w:p w14:paraId="6958C052">
                  <w:pPr>
                    <w:jc w:val="center"/>
                    <w:rPr>
                      <w:b w:val="0"/>
                      <w:bCs/>
                      <w:color w:val="auto"/>
                      <w:sz w:val="18"/>
                      <w:szCs w:val="18"/>
                      <w:highlight w:val="none"/>
                    </w:rPr>
                  </w:pPr>
                  <w:r>
                    <w:rPr>
                      <w:b w:val="0"/>
                      <w:bCs/>
                      <w:color w:val="auto"/>
                      <w:sz w:val="18"/>
                      <w:szCs w:val="18"/>
                      <w:highlight w:val="none"/>
                    </w:rPr>
                    <w:t>劈压比</w:t>
                  </w:r>
                </w:p>
              </w:tc>
              <w:tc>
                <w:tcPr>
                  <w:tcW w:w="641" w:type="dxa"/>
                  <w:noWrap w:val="0"/>
                  <w:vAlign w:val="top"/>
                </w:tcPr>
                <w:p w14:paraId="35CE8E60">
                  <w:pPr>
                    <w:jc w:val="center"/>
                    <w:rPr>
                      <w:b w:val="0"/>
                      <w:bCs/>
                      <w:color w:val="auto"/>
                      <w:sz w:val="18"/>
                      <w:szCs w:val="18"/>
                      <w:highlight w:val="none"/>
                    </w:rPr>
                  </w:pPr>
                  <w:r>
                    <w:rPr>
                      <w:b w:val="0"/>
                      <w:bCs/>
                      <w:color w:val="auto"/>
                      <w:sz w:val="18"/>
                      <w:szCs w:val="18"/>
                      <w:highlight w:val="none"/>
                    </w:rPr>
                    <w:t>0.16</w:t>
                  </w:r>
                </w:p>
              </w:tc>
              <w:tc>
                <w:tcPr>
                  <w:tcW w:w="709" w:type="dxa"/>
                  <w:noWrap w:val="0"/>
                  <w:vAlign w:val="top"/>
                </w:tcPr>
                <w:p w14:paraId="0320FA72">
                  <w:pPr>
                    <w:jc w:val="center"/>
                    <w:rPr>
                      <w:b w:val="0"/>
                      <w:bCs/>
                      <w:color w:val="auto"/>
                      <w:sz w:val="18"/>
                      <w:szCs w:val="18"/>
                      <w:highlight w:val="none"/>
                    </w:rPr>
                  </w:pPr>
                  <w:r>
                    <w:rPr>
                      <w:b w:val="0"/>
                      <w:bCs/>
                      <w:color w:val="auto"/>
                      <w:sz w:val="18"/>
                      <w:szCs w:val="18"/>
                      <w:highlight w:val="none"/>
                    </w:rPr>
                    <w:t>0.12</w:t>
                  </w:r>
                </w:p>
              </w:tc>
              <w:tc>
                <w:tcPr>
                  <w:tcW w:w="832" w:type="dxa"/>
                  <w:noWrap w:val="0"/>
                  <w:vAlign w:val="top"/>
                </w:tcPr>
                <w:p w14:paraId="0BD2BD6E">
                  <w:pPr>
                    <w:jc w:val="center"/>
                    <w:rPr>
                      <w:b w:val="0"/>
                      <w:bCs/>
                      <w:color w:val="auto"/>
                      <w:sz w:val="18"/>
                      <w:szCs w:val="18"/>
                      <w:highlight w:val="none"/>
                      <w:bdr w:val="single" w:color="000000" w:sz="0" w:space="0"/>
                    </w:rPr>
                  </w:pPr>
                  <w:r>
                    <w:rPr>
                      <w:b w:val="0"/>
                      <w:bCs/>
                      <w:color w:val="auto"/>
                      <w:sz w:val="18"/>
                      <w:szCs w:val="18"/>
                      <w:highlight w:val="none"/>
                      <w:bdr w:val="single" w:color="000000" w:sz="0" w:space="0"/>
                    </w:rPr>
                    <w:t>0.10</w:t>
                  </w:r>
                </w:p>
              </w:tc>
            </w:tr>
          </w:tbl>
          <w:p w14:paraId="6DEFD838">
            <w:pPr>
              <w:keepNext w:val="0"/>
              <w:keepLines w:val="0"/>
              <w:pageBreakBefore w:val="0"/>
              <w:widowControl w:val="0"/>
              <w:kinsoku/>
              <w:wordWrap/>
              <w:overflowPunct/>
              <w:topLinePunct w:val="0"/>
              <w:autoSpaceDE/>
              <w:autoSpaceDN/>
              <w:bidi w:val="0"/>
              <w:adjustRightInd/>
              <w:snapToGrid w:val="0"/>
              <w:jc w:val="center"/>
              <w:textAlignment w:val="auto"/>
              <w:rPr>
                <w:b/>
                <w:bCs w:val="0"/>
                <w:color w:val="auto"/>
                <w:sz w:val="18"/>
                <w:szCs w:val="18"/>
                <w:highlight w:val="none"/>
              </w:rPr>
            </w:pPr>
            <w:r>
              <w:rPr>
                <w:b/>
                <w:bCs w:val="0"/>
                <w:color w:val="auto"/>
                <w:sz w:val="18"/>
                <w:szCs w:val="18"/>
                <w:highlight w:val="none"/>
              </w:rPr>
              <w:t>表3.2.2-3  块体材料的最低强度等级</w:t>
            </w:r>
          </w:p>
          <w:tbl>
            <w:tblPr>
              <w:tblStyle w:val="7"/>
              <w:tblW w:w="43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7"/>
              <w:gridCol w:w="1241"/>
              <w:gridCol w:w="709"/>
              <w:gridCol w:w="1904"/>
            </w:tblGrid>
            <w:tr w14:paraId="3E8B6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8" w:type="dxa"/>
                  <w:gridSpan w:val="2"/>
                  <w:tcBorders>
                    <w:top w:val="single" w:color="auto" w:sz="4" w:space="0"/>
                    <w:left w:val="single" w:color="auto" w:sz="4" w:space="0"/>
                    <w:bottom w:val="single" w:color="auto" w:sz="4" w:space="0"/>
                  </w:tcBorders>
                  <w:noWrap w:val="0"/>
                  <w:vAlign w:val="center"/>
                </w:tcPr>
                <w:p w14:paraId="30614639">
                  <w:pPr>
                    <w:jc w:val="center"/>
                    <w:rPr>
                      <w:b w:val="0"/>
                      <w:bCs/>
                      <w:color w:val="auto"/>
                      <w:sz w:val="18"/>
                      <w:szCs w:val="18"/>
                      <w:highlight w:val="none"/>
                    </w:rPr>
                  </w:pPr>
                  <w:r>
                    <w:rPr>
                      <w:b w:val="0"/>
                      <w:bCs/>
                      <w:color w:val="auto"/>
                      <w:sz w:val="18"/>
                      <w:szCs w:val="18"/>
                      <w:highlight w:val="none"/>
                    </w:rPr>
                    <w:t>块体材料用途及类型</w:t>
                  </w:r>
                </w:p>
              </w:tc>
              <w:tc>
                <w:tcPr>
                  <w:tcW w:w="709" w:type="dxa"/>
                  <w:tcBorders>
                    <w:top w:val="single" w:color="auto" w:sz="4" w:space="0"/>
                    <w:bottom w:val="single" w:color="auto" w:sz="4" w:space="0"/>
                  </w:tcBorders>
                  <w:noWrap w:val="0"/>
                  <w:vAlign w:val="center"/>
                </w:tcPr>
                <w:p w14:paraId="219F5AE5">
                  <w:pPr>
                    <w:jc w:val="center"/>
                    <w:rPr>
                      <w:b w:val="0"/>
                      <w:bCs/>
                      <w:color w:val="auto"/>
                      <w:sz w:val="18"/>
                      <w:szCs w:val="18"/>
                      <w:highlight w:val="none"/>
                    </w:rPr>
                  </w:pPr>
                  <w:r>
                    <w:rPr>
                      <w:b w:val="0"/>
                      <w:bCs/>
                      <w:color w:val="auto"/>
                      <w:sz w:val="18"/>
                      <w:szCs w:val="18"/>
                      <w:highlight w:val="none"/>
                    </w:rPr>
                    <w:t>最低强度等级</w:t>
                  </w:r>
                </w:p>
              </w:tc>
              <w:tc>
                <w:tcPr>
                  <w:tcW w:w="1904" w:type="dxa"/>
                  <w:tcBorders>
                    <w:top w:val="single" w:color="auto" w:sz="4" w:space="0"/>
                    <w:bottom w:val="single" w:color="auto" w:sz="4" w:space="0"/>
                    <w:right w:val="single" w:color="auto" w:sz="4" w:space="0"/>
                  </w:tcBorders>
                  <w:noWrap w:val="0"/>
                  <w:vAlign w:val="center"/>
                </w:tcPr>
                <w:p w14:paraId="62FC2C14">
                  <w:pPr>
                    <w:jc w:val="center"/>
                    <w:rPr>
                      <w:b w:val="0"/>
                      <w:bCs/>
                      <w:color w:val="auto"/>
                      <w:sz w:val="18"/>
                      <w:szCs w:val="18"/>
                      <w:highlight w:val="none"/>
                    </w:rPr>
                  </w:pPr>
                  <w:r>
                    <w:rPr>
                      <w:b w:val="0"/>
                      <w:bCs/>
                      <w:color w:val="auto"/>
                      <w:sz w:val="18"/>
                      <w:szCs w:val="18"/>
                      <w:highlight w:val="none"/>
                    </w:rPr>
                    <w:t>备       注</w:t>
                  </w:r>
                </w:p>
              </w:tc>
            </w:tr>
            <w:tr w14:paraId="1A65D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477" w:type="dxa"/>
                  <w:vMerge w:val="restart"/>
                  <w:tcBorders>
                    <w:top w:val="single" w:color="auto" w:sz="4" w:space="0"/>
                  </w:tcBorders>
                  <w:noWrap w:val="0"/>
                  <w:vAlign w:val="center"/>
                </w:tcPr>
                <w:p w14:paraId="18BF95C9">
                  <w:pPr>
                    <w:jc w:val="center"/>
                    <w:rPr>
                      <w:b w:val="0"/>
                      <w:bCs/>
                      <w:color w:val="auto"/>
                      <w:sz w:val="18"/>
                      <w:szCs w:val="18"/>
                      <w:highlight w:val="none"/>
                    </w:rPr>
                  </w:pPr>
                  <w:r>
                    <w:rPr>
                      <w:b w:val="0"/>
                      <w:bCs/>
                      <w:color w:val="auto"/>
                      <w:sz w:val="18"/>
                      <w:szCs w:val="18"/>
                      <w:highlight w:val="none"/>
                    </w:rPr>
                    <w:t>承重墙</w:t>
                  </w:r>
                </w:p>
                <w:p w14:paraId="0D384B0D">
                  <w:pPr>
                    <w:jc w:val="center"/>
                    <w:rPr>
                      <w:rFonts w:hint="default"/>
                      <w:b w:val="0"/>
                      <w:bCs/>
                      <w:color w:val="auto"/>
                      <w:sz w:val="18"/>
                      <w:szCs w:val="18"/>
                      <w:highlight w:val="none"/>
                      <w:lang w:val="en-US"/>
                    </w:rPr>
                  </w:pPr>
                  <w:r>
                    <w:rPr>
                      <w:rFonts w:hint="eastAsia"/>
                      <w:b w:val="0"/>
                      <w:bCs/>
                      <w:color w:val="auto"/>
                      <w:sz w:val="18"/>
                      <w:szCs w:val="18"/>
                      <w:highlight w:val="none"/>
                      <w:u w:val="single"/>
                      <w:lang w:val="en-US" w:eastAsia="zh-CN"/>
                    </w:rPr>
                    <w:t>及自承重墙</w:t>
                  </w:r>
                </w:p>
              </w:tc>
              <w:tc>
                <w:tcPr>
                  <w:tcW w:w="1241" w:type="dxa"/>
                  <w:tcBorders>
                    <w:top w:val="single" w:color="auto" w:sz="4" w:space="0"/>
                  </w:tcBorders>
                  <w:noWrap w:val="0"/>
                  <w:vAlign w:val="center"/>
                </w:tcPr>
                <w:p w14:paraId="4984EA31">
                  <w:pPr>
                    <w:rPr>
                      <w:b w:val="0"/>
                      <w:bCs/>
                      <w:color w:val="auto"/>
                      <w:sz w:val="18"/>
                      <w:szCs w:val="18"/>
                      <w:highlight w:val="none"/>
                    </w:rPr>
                  </w:pPr>
                  <w:r>
                    <w:rPr>
                      <w:b w:val="0"/>
                      <w:bCs/>
                      <w:color w:val="auto"/>
                      <w:sz w:val="18"/>
                      <w:szCs w:val="18"/>
                      <w:highlight w:val="none"/>
                    </w:rPr>
                    <w:t>烧结普通砖、烧结多孔砖</w:t>
                  </w:r>
                </w:p>
              </w:tc>
              <w:tc>
                <w:tcPr>
                  <w:tcW w:w="709" w:type="dxa"/>
                  <w:tcBorders>
                    <w:top w:val="single" w:color="auto" w:sz="4" w:space="0"/>
                  </w:tcBorders>
                  <w:noWrap w:val="0"/>
                  <w:vAlign w:val="center"/>
                </w:tcPr>
                <w:p w14:paraId="0B56F97E">
                  <w:pPr>
                    <w:jc w:val="center"/>
                    <w:rPr>
                      <w:b w:val="0"/>
                      <w:bCs/>
                      <w:color w:val="auto"/>
                      <w:sz w:val="18"/>
                      <w:szCs w:val="18"/>
                      <w:highlight w:val="none"/>
                    </w:rPr>
                  </w:pPr>
                  <w:r>
                    <w:rPr>
                      <w:b w:val="0"/>
                      <w:bCs/>
                      <w:color w:val="auto"/>
                      <w:sz w:val="18"/>
                      <w:szCs w:val="18"/>
                      <w:highlight w:val="none"/>
                    </w:rPr>
                    <w:t>MU10</w:t>
                  </w:r>
                </w:p>
              </w:tc>
              <w:tc>
                <w:tcPr>
                  <w:tcW w:w="1904" w:type="dxa"/>
                  <w:vMerge w:val="restart"/>
                  <w:tcBorders>
                    <w:top w:val="single" w:color="auto" w:sz="4" w:space="0"/>
                  </w:tcBorders>
                  <w:noWrap w:val="0"/>
                  <w:vAlign w:val="center"/>
                </w:tcPr>
                <w:p w14:paraId="3142E305">
                  <w:pPr>
                    <w:rPr>
                      <w:b w:val="0"/>
                      <w:bCs/>
                      <w:color w:val="auto"/>
                      <w:sz w:val="18"/>
                      <w:szCs w:val="18"/>
                      <w:highlight w:val="none"/>
                    </w:rPr>
                  </w:pPr>
                  <w:r>
                    <w:rPr>
                      <w:b w:val="0"/>
                      <w:bCs/>
                      <w:color w:val="auto"/>
                      <w:sz w:val="18"/>
                      <w:szCs w:val="18"/>
                      <w:highlight w:val="none"/>
                    </w:rPr>
                    <w:t xml:space="preserve">    用于外墙及潮湿环境的内墙时，强度应提高一个等级</w:t>
                  </w:r>
                </w:p>
              </w:tc>
            </w:tr>
            <w:tr w14:paraId="1E2E1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477" w:type="dxa"/>
                  <w:vMerge w:val="continue"/>
                  <w:noWrap w:val="0"/>
                  <w:vAlign w:val="center"/>
                </w:tcPr>
                <w:p w14:paraId="3C7C9320">
                  <w:pPr>
                    <w:jc w:val="center"/>
                    <w:rPr>
                      <w:b w:val="0"/>
                      <w:bCs/>
                      <w:color w:val="auto"/>
                      <w:sz w:val="18"/>
                      <w:szCs w:val="18"/>
                      <w:highlight w:val="none"/>
                    </w:rPr>
                  </w:pPr>
                </w:p>
              </w:tc>
              <w:tc>
                <w:tcPr>
                  <w:tcW w:w="1241" w:type="dxa"/>
                  <w:noWrap w:val="0"/>
                  <w:vAlign w:val="center"/>
                </w:tcPr>
                <w:p w14:paraId="33059134">
                  <w:pPr>
                    <w:rPr>
                      <w:b w:val="0"/>
                      <w:bCs/>
                      <w:color w:val="auto"/>
                      <w:sz w:val="18"/>
                      <w:szCs w:val="18"/>
                      <w:highlight w:val="none"/>
                    </w:rPr>
                  </w:pPr>
                  <w:r>
                    <w:rPr>
                      <w:b w:val="0"/>
                      <w:bCs/>
                      <w:color w:val="auto"/>
                      <w:sz w:val="18"/>
                      <w:szCs w:val="18"/>
                      <w:highlight w:val="none"/>
                    </w:rPr>
                    <w:t xml:space="preserve"> 蒸压普通砖、混凝土砖</w:t>
                  </w:r>
                </w:p>
              </w:tc>
              <w:tc>
                <w:tcPr>
                  <w:tcW w:w="709" w:type="dxa"/>
                  <w:noWrap w:val="0"/>
                  <w:vAlign w:val="center"/>
                </w:tcPr>
                <w:p w14:paraId="7686E019">
                  <w:pPr>
                    <w:jc w:val="center"/>
                    <w:rPr>
                      <w:b w:val="0"/>
                      <w:bCs/>
                      <w:color w:val="auto"/>
                      <w:sz w:val="18"/>
                      <w:szCs w:val="18"/>
                      <w:highlight w:val="none"/>
                    </w:rPr>
                  </w:pPr>
                  <w:r>
                    <w:rPr>
                      <w:b w:val="0"/>
                      <w:bCs/>
                      <w:color w:val="auto"/>
                      <w:sz w:val="18"/>
                      <w:szCs w:val="18"/>
                      <w:highlight w:val="none"/>
                    </w:rPr>
                    <w:t>MU15</w:t>
                  </w:r>
                </w:p>
              </w:tc>
              <w:tc>
                <w:tcPr>
                  <w:tcW w:w="1904" w:type="dxa"/>
                  <w:vMerge w:val="continue"/>
                  <w:noWrap w:val="0"/>
                  <w:vAlign w:val="center"/>
                </w:tcPr>
                <w:p w14:paraId="54629664">
                  <w:pPr>
                    <w:jc w:val="center"/>
                    <w:rPr>
                      <w:b w:val="0"/>
                      <w:bCs/>
                      <w:color w:val="auto"/>
                      <w:sz w:val="18"/>
                      <w:szCs w:val="18"/>
                      <w:highlight w:val="none"/>
                    </w:rPr>
                  </w:pPr>
                </w:p>
              </w:tc>
            </w:tr>
            <w:tr w14:paraId="53447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7" w:type="dxa"/>
                  <w:vMerge w:val="continue"/>
                  <w:noWrap w:val="0"/>
                  <w:vAlign w:val="center"/>
                </w:tcPr>
                <w:p w14:paraId="14D20A23">
                  <w:pPr>
                    <w:jc w:val="center"/>
                    <w:rPr>
                      <w:b w:val="0"/>
                      <w:bCs/>
                      <w:color w:val="auto"/>
                      <w:sz w:val="18"/>
                      <w:szCs w:val="18"/>
                      <w:highlight w:val="none"/>
                    </w:rPr>
                  </w:pPr>
                </w:p>
              </w:tc>
              <w:tc>
                <w:tcPr>
                  <w:tcW w:w="1241" w:type="dxa"/>
                  <w:noWrap w:val="0"/>
                  <w:vAlign w:val="center"/>
                </w:tcPr>
                <w:p w14:paraId="0FC2BCB0">
                  <w:pPr>
                    <w:jc w:val="center"/>
                    <w:rPr>
                      <w:b w:val="0"/>
                      <w:bCs/>
                      <w:color w:val="auto"/>
                      <w:sz w:val="18"/>
                      <w:szCs w:val="18"/>
                      <w:highlight w:val="none"/>
                    </w:rPr>
                  </w:pPr>
                  <w:r>
                    <w:rPr>
                      <w:b w:val="0"/>
                      <w:bCs/>
                      <w:color w:val="auto"/>
                      <w:sz w:val="18"/>
                      <w:szCs w:val="18"/>
                      <w:highlight w:val="none"/>
                    </w:rPr>
                    <w:t>普通、轻骨料混凝土小型空心砌块</w:t>
                  </w:r>
                </w:p>
              </w:tc>
              <w:tc>
                <w:tcPr>
                  <w:tcW w:w="709" w:type="dxa"/>
                  <w:noWrap w:val="0"/>
                  <w:vAlign w:val="center"/>
                </w:tcPr>
                <w:p w14:paraId="138E7525">
                  <w:pPr>
                    <w:jc w:val="center"/>
                    <w:rPr>
                      <w:b w:val="0"/>
                      <w:bCs/>
                      <w:color w:val="auto"/>
                      <w:sz w:val="18"/>
                      <w:szCs w:val="18"/>
                      <w:highlight w:val="none"/>
                    </w:rPr>
                  </w:pPr>
                  <w:r>
                    <w:rPr>
                      <w:b w:val="0"/>
                      <w:bCs/>
                      <w:color w:val="auto"/>
                      <w:sz w:val="18"/>
                      <w:szCs w:val="18"/>
                      <w:highlight w:val="none"/>
                    </w:rPr>
                    <w:t>MU7.5</w:t>
                  </w:r>
                </w:p>
              </w:tc>
              <w:tc>
                <w:tcPr>
                  <w:tcW w:w="1904" w:type="dxa"/>
                  <w:noWrap w:val="0"/>
                  <w:vAlign w:val="center"/>
                </w:tcPr>
                <w:p w14:paraId="31051638">
                  <w:pPr>
                    <w:ind w:firstLine="360" w:firstLineChars="200"/>
                    <w:rPr>
                      <w:rFonts w:hint="eastAsia" w:eastAsia="宋体"/>
                      <w:b w:val="0"/>
                      <w:bCs/>
                      <w:color w:val="auto"/>
                      <w:sz w:val="18"/>
                      <w:szCs w:val="18"/>
                      <w:highlight w:val="none"/>
                      <w:lang w:val="en-US" w:eastAsia="zh-CN"/>
                    </w:rPr>
                  </w:pPr>
                  <w:r>
                    <w:rPr>
                      <w:b w:val="0"/>
                      <w:bCs/>
                      <w:color w:val="auto"/>
                      <w:sz w:val="18"/>
                      <w:szCs w:val="18"/>
                      <w:highlight w:val="none"/>
                    </w:rPr>
                    <w:t>以粉煤灰做掺合料时，粉煤灰的品质、取代水泥最大限量和掺量应符合国家现行标准《用于水泥和混凝土中的粉煤灰》GB/T 1596、《粉煤灰混凝上应用技术规范》</w:t>
                  </w:r>
                  <w:r>
                    <w:rPr>
                      <w:b w:val="0"/>
                      <w:bCs/>
                      <w:color w:val="auto"/>
                      <w:sz w:val="18"/>
                      <w:szCs w:val="18"/>
                      <w:highlight w:val="none"/>
                      <w:bdr w:val="single" w:color="000000" w:sz="4" w:space="0"/>
                    </w:rPr>
                    <w:t>GBJ 146</w:t>
                  </w:r>
                  <w:r>
                    <w:rPr>
                      <w:rFonts w:hint="eastAsia"/>
                      <w:b w:val="0"/>
                      <w:bCs/>
                      <w:color w:val="auto"/>
                      <w:sz w:val="18"/>
                      <w:szCs w:val="18"/>
                      <w:highlight w:val="none"/>
                      <w:bdr w:val="single" w:color="000000" w:sz="4" w:space="0"/>
                      <w:lang w:val="en-US" w:eastAsia="zh-CN"/>
                    </w:rPr>
                    <w:t xml:space="preserve"> </w:t>
                  </w:r>
                  <w:r>
                    <w:rPr>
                      <w:rFonts w:hint="eastAsia"/>
                      <w:b w:val="0"/>
                      <w:bCs/>
                      <w:color w:val="auto"/>
                      <w:sz w:val="18"/>
                      <w:szCs w:val="18"/>
                      <w:highlight w:val="none"/>
                      <w:u w:val="single"/>
                    </w:rPr>
                    <w:t>GB/T 50146</w:t>
                  </w:r>
                  <w:r>
                    <w:rPr>
                      <w:b w:val="0"/>
                      <w:bCs/>
                      <w:color w:val="auto"/>
                      <w:sz w:val="18"/>
                      <w:szCs w:val="18"/>
                      <w:highlight w:val="none"/>
                      <w:bdr w:val="single" w:color="000000" w:sz="4" w:space="0"/>
                    </w:rPr>
                    <w:t>和《粉煤灰在混凝土和砂浆中应用技术规程》JGJ 28</w:t>
                  </w:r>
                  <w:r>
                    <w:rPr>
                      <w:b w:val="0"/>
                      <w:bCs/>
                      <w:color w:val="auto"/>
                      <w:sz w:val="18"/>
                      <w:szCs w:val="18"/>
                      <w:highlight w:val="none"/>
                    </w:rPr>
                    <w:t>的有关规定</w:t>
                  </w:r>
                </w:p>
              </w:tc>
            </w:tr>
            <w:tr w14:paraId="4865F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7" w:type="dxa"/>
                  <w:vMerge w:val="continue"/>
                  <w:noWrap w:val="0"/>
                  <w:vAlign w:val="center"/>
                </w:tcPr>
                <w:p w14:paraId="0E4F469A">
                  <w:pPr>
                    <w:jc w:val="center"/>
                    <w:rPr>
                      <w:b w:val="0"/>
                      <w:bCs/>
                      <w:color w:val="auto"/>
                      <w:sz w:val="18"/>
                      <w:szCs w:val="18"/>
                      <w:highlight w:val="none"/>
                    </w:rPr>
                  </w:pPr>
                </w:p>
              </w:tc>
              <w:tc>
                <w:tcPr>
                  <w:tcW w:w="1241" w:type="dxa"/>
                  <w:noWrap w:val="0"/>
                  <w:vAlign w:val="center"/>
                </w:tcPr>
                <w:p w14:paraId="7332070F">
                  <w:pPr>
                    <w:jc w:val="center"/>
                    <w:rPr>
                      <w:b w:val="0"/>
                      <w:bCs/>
                      <w:color w:val="auto"/>
                      <w:sz w:val="18"/>
                      <w:szCs w:val="18"/>
                      <w:highlight w:val="none"/>
                    </w:rPr>
                  </w:pPr>
                  <w:r>
                    <w:rPr>
                      <w:b w:val="0"/>
                      <w:bCs/>
                      <w:color w:val="auto"/>
                      <w:sz w:val="18"/>
                      <w:szCs w:val="18"/>
                      <w:highlight w:val="none"/>
                    </w:rPr>
                    <w:t>蒸压加气混凝土砌块</w:t>
                  </w:r>
                </w:p>
              </w:tc>
              <w:tc>
                <w:tcPr>
                  <w:tcW w:w="709" w:type="dxa"/>
                  <w:noWrap w:val="0"/>
                  <w:vAlign w:val="center"/>
                </w:tcPr>
                <w:p w14:paraId="03533516">
                  <w:pPr>
                    <w:jc w:val="center"/>
                    <w:rPr>
                      <w:b w:val="0"/>
                      <w:bCs/>
                      <w:color w:val="auto"/>
                      <w:sz w:val="18"/>
                      <w:szCs w:val="18"/>
                      <w:highlight w:val="none"/>
                    </w:rPr>
                  </w:pPr>
                  <w:r>
                    <w:rPr>
                      <w:b w:val="0"/>
                      <w:bCs/>
                      <w:color w:val="auto"/>
                      <w:sz w:val="18"/>
                      <w:szCs w:val="18"/>
                      <w:highlight w:val="none"/>
                    </w:rPr>
                    <w:t>A5.0</w:t>
                  </w:r>
                </w:p>
              </w:tc>
              <w:tc>
                <w:tcPr>
                  <w:tcW w:w="1904" w:type="dxa"/>
                  <w:noWrap w:val="0"/>
                  <w:vAlign w:val="center"/>
                </w:tcPr>
                <w:p w14:paraId="300C8E2A">
                  <w:pPr>
                    <w:jc w:val="center"/>
                    <w:rPr>
                      <w:b w:val="0"/>
                      <w:bCs/>
                      <w:color w:val="auto"/>
                      <w:sz w:val="18"/>
                      <w:szCs w:val="18"/>
                      <w:highlight w:val="none"/>
                    </w:rPr>
                  </w:pPr>
                </w:p>
              </w:tc>
            </w:tr>
            <w:tr w14:paraId="43426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7" w:type="dxa"/>
                  <w:vMerge w:val="restart"/>
                  <w:noWrap w:val="0"/>
                  <w:vAlign w:val="center"/>
                </w:tcPr>
                <w:p w14:paraId="32238E7E">
                  <w:pPr>
                    <w:jc w:val="center"/>
                    <w:rPr>
                      <w:b w:val="0"/>
                      <w:bCs/>
                      <w:color w:val="auto"/>
                      <w:sz w:val="18"/>
                      <w:szCs w:val="18"/>
                      <w:highlight w:val="none"/>
                      <w:bdr w:val="single" w:color="000000" w:sz="4" w:space="0"/>
                    </w:rPr>
                  </w:pPr>
                  <w:r>
                    <w:rPr>
                      <w:b w:val="0"/>
                      <w:bCs/>
                      <w:color w:val="auto"/>
                      <w:sz w:val="18"/>
                      <w:szCs w:val="18"/>
                      <w:highlight w:val="none"/>
                      <w:bdr w:val="single" w:color="000000" w:sz="4" w:space="0"/>
                    </w:rPr>
                    <w:t>自承重墙</w:t>
                  </w:r>
                </w:p>
                <w:p w14:paraId="1DD37954">
                  <w:pPr>
                    <w:jc w:val="center"/>
                    <w:rPr>
                      <w:b w:val="0"/>
                      <w:bCs/>
                      <w:color w:val="auto"/>
                      <w:sz w:val="18"/>
                      <w:szCs w:val="18"/>
                      <w:highlight w:val="none"/>
                    </w:rPr>
                  </w:pPr>
                  <w:r>
                    <w:rPr>
                      <w:rFonts w:hint="eastAsia"/>
                      <w:b w:val="0"/>
                      <w:bCs/>
                      <w:color w:val="auto"/>
                      <w:sz w:val="18"/>
                      <w:szCs w:val="18"/>
                      <w:highlight w:val="none"/>
                      <w:lang w:val="en-US" w:eastAsia="zh-CN"/>
                    </w:rPr>
                    <w:t>填充墙</w:t>
                  </w:r>
                </w:p>
              </w:tc>
              <w:tc>
                <w:tcPr>
                  <w:tcW w:w="1241" w:type="dxa"/>
                  <w:noWrap w:val="0"/>
                  <w:vAlign w:val="center"/>
                </w:tcPr>
                <w:p w14:paraId="7ACB97D6">
                  <w:pPr>
                    <w:jc w:val="center"/>
                    <w:rPr>
                      <w:b w:val="0"/>
                      <w:bCs/>
                      <w:color w:val="auto"/>
                      <w:sz w:val="18"/>
                      <w:szCs w:val="18"/>
                      <w:highlight w:val="none"/>
                    </w:rPr>
                  </w:pPr>
                  <w:r>
                    <w:rPr>
                      <w:b w:val="0"/>
                      <w:bCs/>
                      <w:color w:val="auto"/>
                      <w:sz w:val="18"/>
                      <w:szCs w:val="18"/>
                      <w:highlight w:val="none"/>
                    </w:rPr>
                    <w:t>轻骨料混凝土小型空心砌块</w:t>
                  </w:r>
                </w:p>
              </w:tc>
              <w:tc>
                <w:tcPr>
                  <w:tcW w:w="709" w:type="dxa"/>
                  <w:noWrap w:val="0"/>
                  <w:vAlign w:val="center"/>
                </w:tcPr>
                <w:p w14:paraId="3ECF3A5F">
                  <w:pPr>
                    <w:jc w:val="center"/>
                    <w:rPr>
                      <w:b w:val="0"/>
                      <w:bCs/>
                      <w:color w:val="auto"/>
                      <w:sz w:val="18"/>
                      <w:szCs w:val="18"/>
                      <w:highlight w:val="none"/>
                    </w:rPr>
                  </w:pPr>
                  <w:r>
                    <w:rPr>
                      <w:b w:val="0"/>
                      <w:bCs/>
                      <w:color w:val="auto"/>
                      <w:sz w:val="18"/>
                      <w:szCs w:val="18"/>
                      <w:highlight w:val="none"/>
                    </w:rPr>
                    <w:t>MU3.5</w:t>
                  </w:r>
                </w:p>
              </w:tc>
              <w:tc>
                <w:tcPr>
                  <w:tcW w:w="1904" w:type="dxa"/>
                  <w:noWrap w:val="0"/>
                  <w:vAlign w:val="center"/>
                </w:tcPr>
                <w:p w14:paraId="373305F1">
                  <w:pPr>
                    <w:keepNext w:val="0"/>
                    <w:keepLines w:val="0"/>
                    <w:pageBreakBefore w:val="0"/>
                    <w:widowControl w:val="0"/>
                    <w:kinsoku/>
                    <w:wordWrap/>
                    <w:overflowPunct/>
                    <w:topLinePunct w:val="0"/>
                    <w:autoSpaceDE/>
                    <w:autoSpaceDN/>
                    <w:bidi w:val="0"/>
                    <w:adjustRightInd/>
                    <w:snapToGrid/>
                    <w:ind w:firstLine="360" w:firstLineChars="200"/>
                    <w:jc w:val="both"/>
                    <w:textAlignment w:val="auto"/>
                    <w:rPr>
                      <w:b w:val="0"/>
                      <w:bCs/>
                      <w:color w:val="auto"/>
                      <w:sz w:val="18"/>
                      <w:szCs w:val="18"/>
                      <w:highlight w:val="none"/>
                    </w:rPr>
                  </w:pPr>
                  <w:r>
                    <w:rPr>
                      <w:b w:val="0"/>
                      <w:bCs/>
                      <w:color w:val="auto"/>
                      <w:sz w:val="18"/>
                      <w:szCs w:val="18"/>
                      <w:highlight w:val="none"/>
                    </w:rPr>
                    <w:t>用于外墙及潮湿环境的内墙时，强度等级不应低于MU5.0。全烧结陶粒保温砌块用于内墙，其强度等级不应低于MU2.5、密度不应大于800kg/m</w:t>
                  </w:r>
                  <w:r>
                    <w:rPr>
                      <w:rFonts w:hint="eastAsia"/>
                      <w:b w:val="0"/>
                      <w:bCs/>
                      <w:color w:val="auto"/>
                      <w:sz w:val="18"/>
                      <w:szCs w:val="18"/>
                      <w:highlight w:val="none"/>
                      <w:vertAlign w:val="superscript"/>
                      <w:lang w:val="en-US" w:eastAsia="zh-CN"/>
                    </w:rPr>
                    <w:t>3</w:t>
                  </w:r>
                </w:p>
              </w:tc>
            </w:tr>
            <w:tr w14:paraId="66F9B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7" w:type="dxa"/>
                  <w:vMerge w:val="continue"/>
                  <w:noWrap w:val="0"/>
                  <w:vAlign w:val="center"/>
                </w:tcPr>
                <w:p w14:paraId="1482C521">
                  <w:pPr>
                    <w:jc w:val="center"/>
                    <w:rPr>
                      <w:b w:val="0"/>
                      <w:bCs/>
                      <w:color w:val="auto"/>
                      <w:sz w:val="18"/>
                      <w:szCs w:val="18"/>
                      <w:highlight w:val="none"/>
                    </w:rPr>
                  </w:pPr>
                </w:p>
              </w:tc>
              <w:tc>
                <w:tcPr>
                  <w:tcW w:w="1241" w:type="dxa"/>
                  <w:noWrap w:val="0"/>
                  <w:vAlign w:val="center"/>
                </w:tcPr>
                <w:p w14:paraId="3C0C85DA">
                  <w:pPr>
                    <w:jc w:val="center"/>
                    <w:rPr>
                      <w:b w:val="0"/>
                      <w:bCs/>
                      <w:color w:val="auto"/>
                      <w:sz w:val="18"/>
                      <w:szCs w:val="18"/>
                      <w:highlight w:val="none"/>
                    </w:rPr>
                  </w:pPr>
                  <w:r>
                    <w:rPr>
                      <w:b w:val="0"/>
                      <w:bCs/>
                      <w:color w:val="auto"/>
                      <w:sz w:val="18"/>
                      <w:szCs w:val="18"/>
                      <w:highlight w:val="none"/>
                    </w:rPr>
                    <w:t>蒸压加气混凝土砌块</w:t>
                  </w:r>
                </w:p>
              </w:tc>
              <w:tc>
                <w:tcPr>
                  <w:tcW w:w="709" w:type="dxa"/>
                  <w:noWrap w:val="0"/>
                  <w:vAlign w:val="center"/>
                </w:tcPr>
                <w:p w14:paraId="297C7DEE">
                  <w:pPr>
                    <w:jc w:val="center"/>
                    <w:rPr>
                      <w:b w:val="0"/>
                      <w:bCs/>
                      <w:color w:val="auto"/>
                      <w:sz w:val="18"/>
                      <w:szCs w:val="18"/>
                      <w:highlight w:val="none"/>
                    </w:rPr>
                  </w:pPr>
                  <w:r>
                    <w:rPr>
                      <w:b w:val="0"/>
                      <w:bCs/>
                      <w:color w:val="auto"/>
                      <w:sz w:val="18"/>
                      <w:szCs w:val="18"/>
                      <w:highlight w:val="none"/>
                    </w:rPr>
                    <w:t>A2.5</w:t>
                  </w:r>
                </w:p>
              </w:tc>
              <w:tc>
                <w:tcPr>
                  <w:tcW w:w="1904" w:type="dxa"/>
                  <w:noWrap w:val="0"/>
                  <w:vAlign w:val="center"/>
                </w:tcPr>
                <w:p w14:paraId="32CC103B">
                  <w:pPr>
                    <w:ind w:firstLine="360" w:firstLineChars="200"/>
                    <w:rPr>
                      <w:b w:val="0"/>
                      <w:bCs/>
                      <w:color w:val="auto"/>
                      <w:sz w:val="18"/>
                      <w:szCs w:val="18"/>
                      <w:highlight w:val="none"/>
                    </w:rPr>
                  </w:pPr>
                  <w:r>
                    <w:rPr>
                      <w:b w:val="0"/>
                      <w:bCs/>
                      <w:color w:val="auto"/>
                      <w:sz w:val="18"/>
                      <w:szCs w:val="18"/>
                      <w:highlight w:val="none"/>
                    </w:rPr>
                    <w:t>用于外墙时，强度等级不应低于A3.5</w:t>
                  </w:r>
                </w:p>
              </w:tc>
            </w:tr>
            <w:tr w14:paraId="3D900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7" w:type="dxa"/>
                  <w:vMerge w:val="continue"/>
                  <w:noWrap w:val="0"/>
                  <w:vAlign w:val="center"/>
                </w:tcPr>
                <w:p w14:paraId="34C98367">
                  <w:pPr>
                    <w:jc w:val="center"/>
                    <w:rPr>
                      <w:b w:val="0"/>
                      <w:bCs/>
                      <w:color w:val="auto"/>
                      <w:sz w:val="18"/>
                      <w:szCs w:val="18"/>
                      <w:highlight w:val="none"/>
                    </w:rPr>
                  </w:pPr>
                </w:p>
              </w:tc>
              <w:tc>
                <w:tcPr>
                  <w:tcW w:w="1241" w:type="dxa"/>
                  <w:noWrap w:val="0"/>
                  <w:vAlign w:val="center"/>
                </w:tcPr>
                <w:p w14:paraId="2855FE79">
                  <w:pPr>
                    <w:jc w:val="center"/>
                    <w:rPr>
                      <w:b w:val="0"/>
                      <w:bCs/>
                      <w:color w:val="auto"/>
                      <w:sz w:val="18"/>
                      <w:szCs w:val="18"/>
                      <w:highlight w:val="none"/>
                    </w:rPr>
                  </w:pPr>
                  <w:r>
                    <w:rPr>
                      <w:b w:val="0"/>
                      <w:bCs/>
                      <w:color w:val="auto"/>
                      <w:sz w:val="18"/>
                      <w:szCs w:val="18"/>
                      <w:highlight w:val="none"/>
                    </w:rPr>
                    <w:t>烧结空心砖和空心砌 块、石膏砌块</w:t>
                  </w:r>
                </w:p>
              </w:tc>
              <w:tc>
                <w:tcPr>
                  <w:tcW w:w="709" w:type="dxa"/>
                  <w:noWrap w:val="0"/>
                  <w:vAlign w:val="center"/>
                </w:tcPr>
                <w:p w14:paraId="73C1E2BD">
                  <w:pPr>
                    <w:jc w:val="center"/>
                    <w:rPr>
                      <w:b w:val="0"/>
                      <w:bCs/>
                      <w:color w:val="auto"/>
                      <w:sz w:val="18"/>
                      <w:szCs w:val="18"/>
                      <w:highlight w:val="none"/>
                    </w:rPr>
                  </w:pPr>
                  <w:r>
                    <w:rPr>
                      <w:b w:val="0"/>
                      <w:bCs/>
                      <w:color w:val="auto"/>
                      <w:sz w:val="18"/>
                      <w:szCs w:val="18"/>
                      <w:highlight w:val="none"/>
                    </w:rPr>
                    <w:t>MU3.5</w:t>
                  </w:r>
                </w:p>
              </w:tc>
              <w:tc>
                <w:tcPr>
                  <w:tcW w:w="1904" w:type="dxa"/>
                  <w:noWrap w:val="0"/>
                  <w:vAlign w:val="center"/>
                </w:tcPr>
                <w:p w14:paraId="135477FD">
                  <w:pPr>
                    <w:rPr>
                      <w:b w:val="0"/>
                      <w:bCs/>
                      <w:color w:val="auto"/>
                      <w:sz w:val="18"/>
                      <w:szCs w:val="18"/>
                      <w:highlight w:val="none"/>
                    </w:rPr>
                  </w:pPr>
                  <w:r>
                    <w:rPr>
                      <w:b w:val="0"/>
                      <w:bCs/>
                      <w:color w:val="auto"/>
                      <w:sz w:val="18"/>
                      <w:szCs w:val="18"/>
                      <w:highlight w:val="none"/>
                    </w:rPr>
                    <w:t xml:space="preserve">    用于外墙及潮湿环境的内墙时，强度等级不应低于MU5.0</w:t>
                  </w:r>
                </w:p>
              </w:tc>
            </w:tr>
          </w:tbl>
          <w:p w14:paraId="30865348">
            <w:pPr>
              <w:ind w:firstLine="360" w:firstLineChars="200"/>
              <w:rPr>
                <w:b w:val="0"/>
                <w:bCs/>
                <w:color w:val="auto"/>
                <w:sz w:val="18"/>
                <w:szCs w:val="18"/>
                <w:highlight w:val="none"/>
              </w:rPr>
            </w:pPr>
            <w:r>
              <w:rPr>
                <w:b w:val="0"/>
                <w:bCs/>
                <w:color w:val="auto"/>
                <w:sz w:val="18"/>
                <w:szCs w:val="18"/>
                <w:highlight w:val="none"/>
              </w:rPr>
              <w:t>注：1   防潮层以下</w:t>
            </w:r>
            <w:r>
              <w:rPr>
                <w:rFonts w:hint="eastAsia"/>
                <w:b w:val="0"/>
                <w:bCs/>
                <w:color w:val="auto"/>
                <w:sz w:val="18"/>
                <w:szCs w:val="18"/>
                <w:highlight w:val="none"/>
                <w:lang w:val="en-US" w:eastAsia="zh-CN"/>
              </w:rPr>
              <w:t>应</w:t>
            </w:r>
            <w:r>
              <w:rPr>
                <w:b w:val="0"/>
                <w:bCs/>
                <w:color w:val="auto"/>
                <w:sz w:val="18"/>
                <w:szCs w:val="18"/>
                <w:highlight w:val="none"/>
              </w:rPr>
              <w:t>采用实心砖或预先将孔灌实的多孔砖（空心砌块）；</w:t>
            </w:r>
          </w:p>
          <w:p w14:paraId="4A4B4807">
            <w:pPr>
              <w:widowControl/>
              <w:snapToGrid w:val="0"/>
              <w:ind w:left="1"/>
              <w:outlineLvl w:val="9"/>
              <w:rPr>
                <w:rFonts w:ascii="Times New Roman" w:hAnsi="Times New Roman"/>
                <w:b w:val="0"/>
                <w:bCs/>
                <w:szCs w:val="21"/>
              </w:rPr>
            </w:pPr>
            <w:r>
              <w:rPr>
                <w:b w:val="0"/>
                <w:bCs/>
                <w:color w:val="auto"/>
                <w:sz w:val="18"/>
                <w:szCs w:val="18"/>
                <w:highlight w:val="none"/>
              </w:rPr>
              <w:t xml:space="preserve">        </w:t>
            </w:r>
            <w:bookmarkStart w:id="10" w:name="_Toc2472"/>
            <w:r>
              <w:rPr>
                <w:b w:val="0"/>
                <w:bCs/>
                <w:color w:val="auto"/>
                <w:sz w:val="18"/>
                <w:szCs w:val="18"/>
                <w:highlight w:val="none"/>
              </w:rPr>
              <w:t>2   水平孔块体</w:t>
            </w:r>
            <w:r>
              <w:rPr>
                <w:b w:val="0"/>
                <w:bCs/>
                <w:color w:val="auto"/>
                <w:sz w:val="18"/>
                <w:szCs w:val="18"/>
                <w:highlight w:val="none"/>
                <w:bdr w:val="single" w:color="000000" w:sz="4" w:space="0"/>
              </w:rPr>
              <w:t>材料</w:t>
            </w:r>
            <w:r>
              <w:rPr>
                <w:b w:val="0"/>
                <w:bCs/>
                <w:color w:val="auto"/>
                <w:sz w:val="18"/>
                <w:szCs w:val="18"/>
                <w:highlight w:val="none"/>
              </w:rPr>
              <w:t>不得用于承重砌体。</w:t>
            </w:r>
            <w:bookmarkEnd w:id="10"/>
          </w:p>
        </w:tc>
      </w:tr>
      <w:tr w14:paraId="115E84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686" w:type="dxa"/>
            <w:vAlign w:val="center"/>
          </w:tcPr>
          <w:p w14:paraId="50458583">
            <w:pPr>
              <w:keepNext w:val="0"/>
              <w:keepLines w:val="0"/>
              <w:pageBreakBefore w:val="0"/>
              <w:widowControl w:val="0"/>
              <w:kinsoku/>
              <w:wordWrap/>
              <w:overflowPunct/>
              <w:topLinePunct w:val="0"/>
              <w:autoSpaceDE/>
              <w:autoSpaceDN/>
              <w:bidi w:val="0"/>
              <w:adjustRightInd/>
              <w:snapToGrid w:val="0"/>
              <w:spacing w:line="360" w:lineRule="auto"/>
              <w:textAlignment w:val="auto"/>
              <w:outlineLvl w:val="9"/>
              <w:rPr>
                <w:color w:val="auto"/>
                <w:highlight w:val="none"/>
              </w:rPr>
            </w:pPr>
            <w:r>
              <w:rPr>
                <w:b/>
                <w:color w:val="auto"/>
                <w:highlight w:val="none"/>
              </w:rPr>
              <w:t xml:space="preserve">3.2.3  </w:t>
            </w:r>
            <w:r>
              <w:rPr>
                <w:color w:val="auto"/>
                <w:highlight w:val="none"/>
              </w:rPr>
              <w:t>块体材料物理性能应符合下列要求：</w:t>
            </w:r>
          </w:p>
          <w:p w14:paraId="19B8A2A5">
            <w:pPr>
              <w:keepNext w:val="0"/>
              <w:keepLines w:val="0"/>
              <w:pageBreakBefore w:val="0"/>
              <w:widowControl w:val="0"/>
              <w:kinsoku/>
              <w:wordWrap/>
              <w:overflowPunct/>
              <w:topLinePunct w:val="0"/>
              <w:autoSpaceDE/>
              <w:autoSpaceDN/>
              <w:bidi w:val="0"/>
              <w:adjustRightInd/>
              <w:snapToGrid w:val="0"/>
              <w:spacing w:line="360" w:lineRule="auto"/>
              <w:ind w:firstLine="415" w:firstLineChars="197"/>
              <w:textAlignment w:val="auto"/>
              <w:rPr>
                <w:rFonts w:hint="eastAsia"/>
                <w:b/>
                <w:color w:val="auto"/>
                <w:sz w:val="18"/>
                <w:szCs w:val="18"/>
                <w:highlight w:val="none"/>
              </w:rPr>
            </w:pPr>
            <w:r>
              <w:rPr>
                <w:b/>
                <w:color w:val="auto"/>
                <w:highlight w:val="none"/>
              </w:rPr>
              <w:t xml:space="preserve">1  </w:t>
            </w:r>
            <w:r>
              <w:rPr>
                <w:color w:val="auto"/>
                <w:highlight w:val="none"/>
              </w:rPr>
              <w:t>材料标准应给出</w:t>
            </w:r>
            <w:r>
              <w:rPr>
                <w:rFonts w:hint="eastAsia"/>
                <w:color w:val="auto"/>
                <w:highlight w:val="none"/>
              </w:rPr>
              <w:t>块体</w:t>
            </w:r>
            <w:r>
              <w:rPr>
                <w:color w:val="auto"/>
                <w:highlight w:val="none"/>
              </w:rPr>
              <w:t>吸水率和干燥收缩率限值；</w:t>
            </w:r>
          </w:p>
          <w:p w14:paraId="177DA328">
            <w:pPr>
              <w:keepNext w:val="0"/>
              <w:keepLines w:val="0"/>
              <w:pageBreakBefore w:val="0"/>
              <w:widowControl w:val="0"/>
              <w:kinsoku/>
              <w:wordWrap/>
              <w:overflowPunct/>
              <w:topLinePunct w:val="0"/>
              <w:autoSpaceDE/>
              <w:autoSpaceDN/>
              <w:bidi w:val="0"/>
              <w:adjustRightInd/>
              <w:snapToGrid w:val="0"/>
              <w:spacing w:line="360" w:lineRule="auto"/>
              <w:ind w:firstLine="417" w:firstLineChars="198"/>
              <w:textAlignment w:val="auto"/>
              <w:rPr>
                <w:color w:val="auto"/>
                <w:highlight w:val="none"/>
              </w:rPr>
            </w:pPr>
            <w:r>
              <w:rPr>
                <w:b/>
                <w:color w:val="auto"/>
                <w:highlight w:val="none"/>
              </w:rPr>
              <w:t xml:space="preserve">2  </w:t>
            </w:r>
            <w:r>
              <w:rPr>
                <w:color w:val="auto"/>
                <w:highlight w:val="none"/>
              </w:rPr>
              <w:t>碳化系数不应小于0.85；</w:t>
            </w:r>
          </w:p>
          <w:p w14:paraId="1905A46D">
            <w:pPr>
              <w:keepNext w:val="0"/>
              <w:keepLines w:val="0"/>
              <w:pageBreakBefore w:val="0"/>
              <w:widowControl w:val="0"/>
              <w:kinsoku/>
              <w:wordWrap/>
              <w:overflowPunct/>
              <w:topLinePunct w:val="0"/>
              <w:autoSpaceDE/>
              <w:autoSpaceDN/>
              <w:bidi w:val="0"/>
              <w:adjustRightInd/>
              <w:snapToGrid w:val="0"/>
              <w:spacing w:line="360" w:lineRule="auto"/>
              <w:ind w:firstLine="420" w:firstLineChars="199"/>
              <w:textAlignment w:val="auto"/>
              <w:rPr>
                <w:color w:val="auto"/>
                <w:highlight w:val="none"/>
              </w:rPr>
            </w:pPr>
            <w:r>
              <w:rPr>
                <w:b/>
                <w:color w:val="auto"/>
                <w:highlight w:val="none"/>
              </w:rPr>
              <w:t xml:space="preserve">3  </w:t>
            </w:r>
            <w:r>
              <w:rPr>
                <w:color w:val="auto"/>
                <w:highlight w:val="none"/>
              </w:rPr>
              <w:t>软化系数不应小于0.85；</w:t>
            </w:r>
          </w:p>
          <w:p w14:paraId="166CCA6F">
            <w:pPr>
              <w:keepNext w:val="0"/>
              <w:keepLines w:val="0"/>
              <w:pageBreakBefore w:val="0"/>
              <w:widowControl w:val="0"/>
              <w:kinsoku/>
              <w:wordWrap/>
              <w:overflowPunct/>
              <w:topLinePunct w:val="0"/>
              <w:autoSpaceDE/>
              <w:autoSpaceDN/>
              <w:bidi w:val="0"/>
              <w:adjustRightInd/>
              <w:snapToGrid w:val="0"/>
              <w:spacing w:line="360" w:lineRule="auto"/>
              <w:ind w:firstLine="420" w:firstLineChars="199"/>
              <w:textAlignment w:val="auto"/>
              <w:rPr>
                <w:rFonts w:hint="eastAsia" w:eastAsia="宋体"/>
                <w:color w:val="auto"/>
                <w:highlight w:val="none"/>
                <w:lang w:eastAsia="zh-CN"/>
              </w:rPr>
            </w:pPr>
            <w:r>
              <w:rPr>
                <w:b/>
                <w:color w:val="auto"/>
                <w:highlight w:val="none"/>
              </w:rPr>
              <w:t>4</w:t>
            </w:r>
            <w:r>
              <w:rPr>
                <w:color w:val="auto"/>
                <w:highlight w:val="none"/>
              </w:rPr>
              <w:t xml:space="preserve">  抗冻性能应符合表3.2.3的规定</w:t>
            </w:r>
            <w:r>
              <w:rPr>
                <w:rFonts w:hint="eastAsia"/>
                <w:color w:val="auto"/>
                <w:highlight w:val="none"/>
                <w:lang w:eastAsia="zh-CN"/>
              </w:rPr>
              <w:t>；</w:t>
            </w:r>
          </w:p>
        </w:tc>
        <w:tc>
          <w:tcPr>
            <w:tcW w:w="4716" w:type="dxa"/>
            <w:vAlign w:val="center"/>
          </w:tcPr>
          <w:p w14:paraId="25985720">
            <w:pPr>
              <w:keepNext w:val="0"/>
              <w:keepLines w:val="0"/>
              <w:pageBreakBefore w:val="0"/>
              <w:widowControl w:val="0"/>
              <w:kinsoku/>
              <w:wordWrap/>
              <w:overflowPunct/>
              <w:topLinePunct w:val="0"/>
              <w:autoSpaceDE/>
              <w:autoSpaceDN/>
              <w:bidi w:val="0"/>
              <w:adjustRightInd/>
              <w:spacing w:line="360" w:lineRule="auto"/>
              <w:textAlignment w:val="auto"/>
              <w:outlineLvl w:val="9"/>
              <w:rPr>
                <w:color w:val="auto"/>
                <w:highlight w:val="none"/>
              </w:rPr>
            </w:pPr>
            <w:bookmarkStart w:id="11" w:name="_Toc25159"/>
            <w:r>
              <w:rPr>
                <w:b/>
                <w:color w:val="auto"/>
                <w:highlight w:val="none"/>
              </w:rPr>
              <w:t xml:space="preserve">3.2.3  </w:t>
            </w:r>
            <w:r>
              <w:rPr>
                <w:color w:val="auto"/>
                <w:highlight w:val="none"/>
              </w:rPr>
              <w:t>块体材料物理性能应符合下列要求：</w:t>
            </w:r>
            <w:bookmarkEnd w:id="11"/>
          </w:p>
          <w:p w14:paraId="77BADB95">
            <w:pPr>
              <w:keepNext w:val="0"/>
              <w:keepLines w:val="0"/>
              <w:pageBreakBefore w:val="0"/>
              <w:widowControl w:val="0"/>
              <w:kinsoku/>
              <w:wordWrap/>
              <w:overflowPunct/>
              <w:topLinePunct w:val="0"/>
              <w:autoSpaceDE/>
              <w:autoSpaceDN/>
              <w:bidi w:val="0"/>
              <w:adjustRightInd/>
              <w:spacing w:line="360" w:lineRule="auto"/>
              <w:ind w:firstLine="415" w:firstLineChars="197"/>
              <w:textAlignment w:val="auto"/>
              <w:rPr>
                <w:rFonts w:hint="eastAsia"/>
                <w:b/>
                <w:color w:val="auto"/>
                <w:sz w:val="18"/>
                <w:szCs w:val="18"/>
                <w:highlight w:val="none"/>
              </w:rPr>
            </w:pPr>
            <w:r>
              <w:rPr>
                <w:b/>
                <w:color w:val="auto"/>
                <w:highlight w:val="none"/>
              </w:rPr>
              <w:t xml:space="preserve">1  </w:t>
            </w:r>
            <w:r>
              <w:rPr>
                <w:color w:val="auto"/>
                <w:highlight w:val="none"/>
                <w:bdr w:val="single" w:color="000000" w:sz="4" w:space="0"/>
              </w:rPr>
              <w:t>材料标准应给出</w:t>
            </w:r>
            <w:r>
              <w:rPr>
                <w:rFonts w:hint="eastAsia"/>
                <w:color w:val="auto"/>
                <w:highlight w:val="none"/>
                <w:u w:val="single"/>
              </w:rPr>
              <w:t>块体</w:t>
            </w:r>
            <w:r>
              <w:rPr>
                <w:color w:val="auto"/>
                <w:highlight w:val="none"/>
              </w:rPr>
              <w:t>吸水率和干燥收缩率限值；</w:t>
            </w:r>
          </w:p>
          <w:p w14:paraId="183B186A">
            <w:pPr>
              <w:keepNext w:val="0"/>
              <w:keepLines w:val="0"/>
              <w:pageBreakBefore w:val="0"/>
              <w:widowControl w:val="0"/>
              <w:kinsoku/>
              <w:wordWrap/>
              <w:overflowPunct/>
              <w:topLinePunct w:val="0"/>
              <w:autoSpaceDE/>
              <w:autoSpaceDN/>
              <w:bidi w:val="0"/>
              <w:adjustRightInd/>
              <w:spacing w:line="360" w:lineRule="auto"/>
              <w:ind w:firstLine="417" w:firstLineChars="198"/>
              <w:textAlignment w:val="auto"/>
              <w:rPr>
                <w:color w:val="auto"/>
                <w:highlight w:val="none"/>
              </w:rPr>
            </w:pPr>
            <w:r>
              <w:rPr>
                <w:b/>
                <w:color w:val="auto"/>
                <w:highlight w:val="none"/>
              </w:rPr>
              <w:t xml:space="preserve">2  </w:t>
            </w:r>
            <w:r>
              <w:rPr>
                <w:color w:val="auto"/>
                <w:highlight w:val="none"/>
              </w:rPr>
              <w:t>碳化系数不应小于0.85；</w:t>
            </w:r>
          </w:p>
          <w:p w14:paraId="0CDDBF27">
            <w:pPr>
              <w:keepNext w:val="0"/>
              <w:keepLines w:val="0"/>
              <w:pageBreakBefore w:val="0"/>
              <w:widowControl w:val="0"/>
              <w:kinsoku/>
              <w:wordWrap/>
              <w:overflowPunct/>
              <w:topLinePunct w:val="0"/>
              <w:autoSpaceDE/>
              <w:autoSpaceDN/>
              <w:bidi w:val="0"/>
              <w:adjustRightInd/>
              <w:snapToGrid w:val="0"/>
              <w:spacing w:line="360" w:lineRule="auto"/>
              <w:ind w:firstLine="420" w:firstLineChars="199"/>
              <w:textAlignment w:val="auto"/>
              <w:rPr>
                <w:color w:val="auto"/>
                <w:highlight w:val="none"/>
              </w:rPr>
            </w:pPr>
            <w:r>
              <w:rPr>
                <w:b/>
                <w:color w:val="auto"/>
                <w:highlight w:val="none"/>
              </w:rPr>
              <w:t xml:space="preserve">3  </w:t>
            </w:r>
            <w:r>
              <w:rPr>
                <w:color w:val="auto"/>
                <w:highlight w:val="none"/>
              </w:rPr>
              <w:t>软化系数不应小于0.85；</w:t>
            </w:r>
          </w:p>
          <w:p w14:paraId="7FCFE4F6">
            <w:pPr>
              <w:keepNext w:val="0"/>
              <w:keepLines w:val="0"/>
              <w:pageBreakBefore w:val="0"/>
              <w:widowControl w:val="0"/>
              <w:kinsoku/>
              <w:wordWrap/>
              <w:overflowPunct/>
              <w:topLinePunct w:val="0"/>
              <w:autoSpaceDE/>
              <w:autoSpaceDN/>
              <w:bidi w:val="0"/>
              <w:adjustRightInd/>
              <w:snapToGrid w:val="0"/>
              <w:spacing w:line="360" w:lineRule="auto"/>
              <w:ind w:firstLine="422" w:firstLineChars="200"/>
              <w:textAlignment w:val="auto"/>
              <w:rPr>
                <w:rFonts w:hint="eastAsia" w:ascii="Times New Roman" w:hAnsi="Times New Roman" w:eastAsia="宋体"/>
                <w:bCs/>
                <w:szCs w:val="21"/>
                <w:lang w:eastAsia="zh-CN"/>
              </w:rPr>
            </w:pPr>
            <w:r>
              <w:rPr>
                <w:b/>
                <w:color w:val="auto"/>
                <w:highlight w:val="none"/>
              </w:rPr>
              <w:t>4</w:t>
            </w:r>
            <w:r>
              <w:rPr>
                <w:color w:val="auto"/>
                <w:highlight w:val="none"/>
              </w:rPr>
              <w:t xml:space="preserve">  抗冻性能应符合表3.2.3的规定</w:t>
            </w:r>
            <w:r>
              <w:rPr>
                <w:rFonts w:hint="eastAsia"/>
                <w:color w:val="auto"/>
                <w:highlight w:val="none"/>
                <w:lang w:eastAsia="zh-CN"/>
              </w:rPr>
              <w:t>；</w:t>
            </w:r>
          </w:p>
        </w:tc>
      </w:tr>
      <w:tr w14:paraId="0FE379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52" w:hRule="atLeast"/>
        </w:trPr>
        <w:tc>
          <w:tcPr>
            <w:tcW w:w="4686" w:type="dxa"/>
            <w:shd w:val="clear" w:color="auto" w:fill="auto"/>
            <w:vAlign w:val="center"/>
          </w:tcPr>
          <w:p w14:paraId="6C442E7A">
            <w:pPr>
              <w:keepNext w:val="0"/>
              <w:keepLines w:val="0"/>
              <w:pageBreakBefore w:val="0"/>
              <w:widowControl w:val="0"/>
              <w:kinsoku/>
              <w:wordWrap/>
              <w:overflowPunct/>
              <w:topLinePunct w:val="0"/>
              <w:autoSpaceDE/>
              <w:autoSpaceDN/>
              <w:bidi w:val="0"/>
              <w:adjustRightInd/>
              <w:snapToGrid w:val="0"/>
              <w:spacing w:line="360" w:lineRule="auto"/>
              <w:textAlignment w:val="auto"/>
              <w:rPr>
                <w:b/>
                <w:color w:val="auto"/>
                <w:highlight w:val="none"/>
              </w:rPr>
            </w:pPr>
            <w:r>
              <w:rPr>
                <w:b/>
                <w:bCs w:val="0"/>
                <w:color w:val="auto"/>
                <w:highlight w:val="none"/>
              </w:rPr>
              <w:t xml:space="preserve">3.4.1  </w:t>
            </w:r>
            <w:r>
              <w:rPr>
                <w:rFonts w:hint="eastAsia" w:ascii="黑体" w:hAnsi="黑体" w:eastAsia="黑体" w:cs="黑体"/>
                <w:b/>
                <w:bCs w:val="0"/>
                <w:color w:val="auto"/>
                <w:highlight w:val="none"/>
              </w:rPr>
              <w:t>设计有抗冻性要求的墙体，砂浆应进行冻融试验，其抗冻性能应与墙体块材相同。</w:t>
            </w:r>
          </w:p>
        </w:tc>
        <w:tc>
          <w:tcPr>
            <w:tcW w:w="4716" w:type="dxa"/>
            <w:vAlign w:val="center"/>
          </w:tcPr>
          <w:p w14:paraId="194B04A5">
            <w:pPr>
              <w:keepNext w:val="0"/>
              <w:keepLines w:val="0"/>
              <w:pageBreakBefore w:val="0"/>
              <w:widowControl w:val="0"/>
              <w:kinsoku/>
              <w:wordWrap/>
              <w:overflowPunct/>
              <w:topLinePunct w:val="0"/>
              <w:autoSpaceDE/>
              <w:autoSpaceDN/>
              <w:bidi w:val="0"/>
              <w:adjustRightInd/>
              <w:spacing w:line="360" w:lineRule="auto"/>
              <w:textAlignment w:val="auto"/>
              <w:rPr>
                <w:b/>
                <w:bCs w:val="0"/>
                <w:color w:val="auto"/>
                <w:highlight w:val="none"/>
                <w:bdr w:val="single" w:color="000000" w:sz="0" w:space="0"/>
              </w:rPr>
            </w:pPr>
            <w:r>
              <w:rPr>
                <w:b/>
                <w:bCs w:val="0"/>
                <w:color w:val="auto"/>
                <w:highlight w:val="none"/>
                <w:bdr w:val="single" w:color="000000" w:sz="0" w:space="0"/>
              </w:rPr>
              <w:t xml:space="preserve">3.4.1  </w:t>
            </w:r>
            <w:r>
              <w:rPr>
                <w:rFonts w:hint="eastAsia" w:ascii="黑体" w:hAnsi="黑体" w:eastAsia="黑体" w:cs="黑体"/>
                <w:b/>
                <w:bCs w:val="0"/>
                <w:color w:val="auto"/>
                <w:highlight w:val="none"/>
                <w:bdr w:val="single" w:color="000000" w:sz="0" w:space="0"/>
              </w:rPr>
              <w:t>设计有抗冻性要求的墙体，砂浆应进行冻融试验，其抗冻性能应与墙体块材相同。</w:t>
            </w:r>
          </w:p>
          <w:p w14:paraId="43ADC79C">
            <w:pPr>
              <w:keepNext w:val="0"/>
              <w:keepLines w:val="0"/>
              <w:pageBreakBefore w:val="0"/>
              <w:widowControl w:val="0"/>
              <w:kinsoku/>
              <w:wordWrap/>
              <w:overflowPunct/>
              <w:topLinePunct w:val="0"/>
              <w:autoSpaceDE/>
              <w:autoSpaceDN/>
              <w:bidi w:val="0"/>
              <w:adjustRightInd/>
              <w:spacing w:line="360" w:lineRule="auto"/>
              <w:textAlignment w:val="auto"/>
              <w:rPr>
                <w:b/>
                <w:bCs w:val="0"/>
                <w:color w:val="auto"/>
                <w:highlight w:val="none"/>
                <w:bdr w:val="single" w:color="000000" w:sz="0" w:space="0"/>
              </w:rPr>
            </w:pPr>
            <w:r>
              <w:rPr>
                <w:rFonts w:hint="eastAsia"/>
                <w:b/>
                <w:bCs w:val="0"/>
                <w:color w:val="auto"/>
                <w:highlight w:val="none"/>
                <w:u w:val="single"/>
              </w:rPr>
              <w:t>3.4.1</w:t>
            </w:r>
            <w:r>
              <w:rPr>
                <w:rFonts w:hint="eastAsia"/>
                <w:b/>
                <w:bCs/>
                <w:color w:val="auto"/>
                <w:highlight w:val="none"/>
                <w:u w:val="single"/>
              </w:rPr>
              <w:t>A</w:t>
            </w:r>
            <w:r>
              <w:rPr>
                <w:rFonts w:hint="eastAsia"/>
                <w:b w:val="0"/>
                <w:bCs/>
                <w:color w:val="auto"/>
                <w:highlight w:val="none"/>
                <w:u w:val="none"/>
                <w:lang w:val="en-US" w:eastAsia="zh-CN"/>
              </w:rPr>
              <w:t xml:space="preserve"> </w:t>
            </w:r>
            <w:r>
              <w:rPr>
                <w:rFonts w:hint="eastAsia"/>
                <w:b w:val="0"/>
                <w:bCs/>
                <w:color w:val="auto"/>
                <w:highlight w:val="none"/>
                <w:u w:val="single"/>
              </w:rPr>
              <w:t>设计有抗冻性要求的墙体，砂浆应进行冻融试验，其抗冻性能应与墙体块材相同。</w:t>
            </w:r>
          </w:p>
        </w:tc>
      </w:tr>
      <w:tr w14:paraId="42199D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686" w:type="dxa"/>
            <w:shd w:val="clear" w:color="auto" w:fill="auto"/>
            <w:vAlign w:val="center"/>
          </w:tcPr>
          <w:p w14:paraId="36F0620B">
            <w:pPr>
              <w:keepNext w:val="0"/>
              <w:keepLines w:val="0"/>
              <w:pageBreakBefore w:val="0"/>
              <w:widowControl w:val="0"/>
              <w:kinsoku/>
              <w:wordWrap/>
              <w:overflowPunct/>
              <w:topLinePunct w:val="0"/>
              <w:autoSpaceDE/>
              <w:autoSpaceDN/>
              <w:bidi w:val="0"/>
              <w:adjustRightInd/>
              <w:spacing w:line="360" w:lineRule="auto"/>
              <w:textAlignment w:val="auto"/>
              <w:rPr>
                <w:rFonts w:ascii="Times New Roman" w:hAnsi="Times New Roman" w:eastAsia="宋体" w:cs="Times New Roman"/>
                <w:bCs/>
                <w:kern w:val="2"/>
                <w:sz w:val="21"/>
                <w:szCs w:val="21"/>
                <w:lang w:val="en-US" w:eastAsia="zh-CN" w:bidi="ar-SA"/>
              </w:rPr>
            </w:pPr>
            <w:r>
              <w:rPr>
                <w:b/>
                <w:color w:val="auto"/>
                <w:highlight w:val="none"/>
              </w:rPr>
              <w:t xml:space="preserve">3.4.3  </w:t>
            </w:r>
            <w:r>
              <w:rPr>
                <w:color w:val="auto"/>
                <w:highlight w:val="none"/>
              </w:rPr>
              <w:t>专用砌筑砂浆应编制材料标准及应用技术标准。</w:t>
            </w:r>
          </w:p>
        </w:tc>
        <w:tc>
          <w:tcPr>
            <w:tcW w:w="4716" w:type="dxa"/>
            <w:vAlign w:val="center"/>
          </w:tcPr>
          <w:p w14:paraId="1CE15A8B">
            <w:pPr>
              <w:keepNext w:val="0"/>
              <w:keepLines w:val="0"/>
              <w:pageBreakBefore w:val="0"/>
              <w:widowControl w:val="0"/>
              <w:kinsoku/>
              <w:wordWrap/>
              <w:overflowPunct/>
              <w:topLinePunct w:val="0"/>
              <w:autoSpaceDE/>
              <w:autoSpaceDN/>
              <w:bidi w:val="0"/>
              <w:adjustRightInd/>
              <w:spacing w:line="360" w:lineRule="auto"/>
              <w:textAlignment w:val="auto"/>
              <w:rPr>
                <w:rFonts w:ascii="Times New Roman" w:hAnsi="Times New Roman"/>
                <w:bCs/>
                <w:szCs w:val="21"/>
              </w:rPr>
            </w:pPr>
            <w:r>
              <w:rPr>
                <w:b/>
                <w:color w:val="auto"/>
                <w:highlight w:val="none"/>
              </w:rPr>
              <w:t xml:space="preserve">3.4.3  </w:t>
            </w:r>
            <w:r>
              <w:rPr>
                <w:color w:val="auto"/>
                <w:highlight w:val="none"/>
              </w:rPr>
              <w:t>专用砌筑砂浆应</w:t>
            </w:r>
            <w:r>
              <w:rPr>
                <w:color w:val="auto"/>
                <w:highlight w:val="none"/>
                <w:bdr w:val="single" w:color="000000" w:sz="4" w:space="0"/>
              </w:rPr>
              <w:t>编制材料标准及应用技术标准。</w:t>
            </w:r>
            <w:r>
              <w:rPr>
                <w:rFonts w:hint="eastAsia"/>
                <w:color w:val="auto"/>
                <w:highlight w:val="none"/>
                <w:u w:val="single"/>
                <w:lang w:val="en-US" w:eastAsia="zh-CN"/>
              </w:rPr>
              <w:t>满足国家相关标准的要求。</w:t>
            </w:r>
          </w:p>
        </w:tc>
      </w:tr>
      <w:tr w14:paraId="120DD3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686" w:type="dxa"/>
            <w:shd w:val="clear" w:color="auto" w:fill="auto"/>
            <w:vAlign w:val="center"/>
          </w:tcPr>
          <w:p w14:paraId="5B5F9C25">
            <w:pPr>
              <w:keepNext w:val="0"/>
              <w:keepLines w:val="0"/>
              <w:pageBreakBefore w:val="0"/>
              <w:widowControl w:val="0"/>
              <w:kinsoku/>
              <w:wordWrap/>
              <w:overflowPunct/>
              <w:topLinePunct w:val="0"/>
              <w:autoSpaceDE/>
              <w:autoSpaceDN/>
              <w:bidi w:val="0"/>
              <w:adjustRightInd/>
              <w:snapToGrid w:val="0"/>
              <w:spacing w:line="360" w:lineRule="auto"/>
              <w:textAlignment w:val="auto"/>
              <w:rPr>
                <w:color w:val="auto"/>
                <w:highlight w:val="none"/>
              </w:rPr>
            </w:pPr>
            <w:r>
              <w:rPr>
                <w:b/>
                <w:color w:val="auto"/>
                <w:highlight w:val="none"/>
              </w:rPr>
              <w:t xml:space="preserve">3.4.5  </w:t>
            </w:r>
            <w:r>
              <w:rPr>
                <w:color w:val="auto"/>
                <w:highlight w:val="none"/>
              </w:rPr>
              <w:t xml:space="preserve">抹灰砂浆应符合下列规定： </w:t>
            </w:r>
          </w:p>
          <w:p w14:paraId="0BB34F50">
            <w:pPr>
              <w:keepNext w:val="0"/>
              <w:keepLines w:val="0"/>
              <w:pageBreakBefore w:val="0"/>
              <w:widowControl w:val="0"/>
              <w:kinsoku/>
              <w:wordWrap/>
              <w:overflowPunct/>
              <w:topLinePunct w:val="0"/>
              <w:autoSpaceDE/>
              <w:autoSpaceDN/>
              <w:bidi w:val="0"/>
              <w:adjustRightInd/>
              <w:snapToGrid w:val="0"/>
              <w:spacing w:line="360" w:lineRule="auto"/>
              <w:ind w:firstLine="422" w:firstLineChars="200"/>
              <w:textAlignment w:val="auto"/>
              <w:rPr>
                <w:color w:val="auto"/>
                <w:highlight w:val="none"/>
              </w:rPr>
            </w:pPr>
            <w:r>
              <w:rPr>
                <w:b/>
                <w:color w:val="auto"/>
                <w:highlight w:val="none"/>
              </w:rPr>
              <w:t xml:space="preserve">1  </w:t>
            </w:r>
            <w:r>
              <w:rPr>
                <w:color w:val="auto"/>
                <w:highlight w:val="none"/>
              </w:rPr>
              <w:t>相关应用标准应给出抹灰砂浆的抗压强度等级及粘结强度最低限值和收缩率指标；</w:t>
            </w:r>
          </w:p>
          <w:p w14:paraId="6A696635">
            <w:pPr>
              <w:keepNext w:val="0"/>
              <w:keepLines w:val="0"/>
              <w:pageBreakBefore w:val="0"/>
              <w:widowControl w:val="0"/>
              <w:kinsoku/>
              <w:wordWrap/>
              <w:overflowPunct/>
              <w:topLinePunct w:val="0"/>
              <w:autoSpaceDE/>
              <w:autoSpaceDN/>
              <w:bidi w:val="0"/>
              <w:adjustRightInd/>
              <w:snapToGrid w:val="0"/>
              <w:spacing w:line="360" w:lineRule="auto"/>
              <w:ind w:firstLine="422" w:firstLineChars="200"/>
              <w:textAlignment w:val="auto"/>
              <w:rPr>
                <w:color w:val="auto"/>
                <w:highlight w:val="none"/>
              </w:rPr>
            </w:pPr>
            <w:r>
              <w:rPr>
                <w:b/>
                <w:color w:val="auto"/>
                <w:highlight w:val="none"/>
              </w:rPr>
              <w:t xml:space="preserve">2  </w:t>
            </w:r>
            <w:r>
              <w:rPr>
                <w:color w:val="auto"/>
                <w:highlight w:val="none"/>
              </w:rPr>
              <w:t>内墙抹灰砂浆的强度等级不应小于M5.0，粘结强度不应小于0.15MPa；</w:t>
            </w:r>
          </w:p>
          <w:p w14:paraId="59CD1238">
            <w:pPr>
              <w:keepNext w:val="0"/>
              <w:keepLines w:val="0"/>
              <w:pageBreakBefore w:val="0"/>
              <w:widowControl w:val="0"/>
              <w:kinsoku/>
              <w:wordWrap/>
              <w:overflowPunct/>
              <w:topLinePunct w:val="0"/>
              <w:autoSpaceDE/>
              <w:autoSpaceDN/>
              <w:bidi w:val="0"/>
              <w:adjustRightInd/>
              <w:snapToGrid w:val="0"/>
              <w:spacing w:line="360" w:lineRule="auto"/>
              <w:ind w:firstLine="422" w:firstLineChars="200"/>
              <w:textAlignment w:val="auto"/>
              <w:rPr>
                <w:color w:val="auto"/>
                <w:highlight w:val="none"/>
              </w:rPr>
            </w:pPr>
            <w:r>
              <w:rPr>
                <w:b/>
                <w:color w:val="auto"/>
                <w:highlight w:val="none"/>
              </w:rPr>
              <w:t xml:space="preserve">3  </w:t>
            </w:r>
            <w:r>
              <w:rPr>
                <w:color w:val="auto"/>
                <w:highlight w:val="none"/>
              </w:rPr>
              <w:t>外墙抹灰砂浆宜采用防裂砂浆</w:t>
            </w:r>
            <w:r>
              <w:rPr>
                <w:rFonts w:hint="eastAsia"/>
                <w:color w:val="auto"/>
                <w:highlight w:val="none"/>
                <w:lang w:eastAsia="zh-CN"/>
              </w:rPr>
              <w:t>；</w:t>
            </w:r>
            <w:r>
              <w:rPr>
                <w:color w:val="auto"/>
                <w:highlight w:val="none"/>
              </w:rPr>
              <w:t>采暖地区砂浆强度等级不应小于M10，非采暖地区砂浆强度等级不应小于M7.5；蒸压加气混凝土砂浆强度等级宜为Ma5.0；</w:t>
            </w:r>
          </w:p>
          <w:p w14:paraId="29EB5D2E">
            <w:pPr>
              <w:keepNext w:val="0"/>
              <w:keepLines w:val="0"/>
              <w:pageBreakBefore w:val="0"/>
              <w:widowControl w:val="0"/>
              <w:kinsoku/>
              <w:wordWrap/>
              <w:overflowPunct/>
              <w:topLinePunct w:val="0"/>
              <w:autoSpaceDE/>
              <w:autoSpaceDN/>
              <w:bidi w:val="0"/>
              <w:adjustRightInd/>
              <w:snapToGrid w:val="0"/>
              <w:spacing w:line="360" w:lineRule="auto"/>
              <w:ind w:firstLine="422" w:firstLineChars="200"/>
              <w:textAlignment w:val="auto"/>
              <w:rPr>
                <w:color w:val="auto"/>
                <w:highlight w:val="none"/>
              </w:rPr>
            </w:pPr>
            <w:r>
              <w:rPr>
                <w:b/>
                <w:color w:val="auto"/>
                <w:highlight w:val="none"/>
              </w:rPr>
              <w:t xml:space="preserve">4  </w:t>
            </w:r>
            <w:r>
              <w:rPr>
                <w:color w:val="auto"/>
                <w:highlight w:val="none"/>
              </w:rPr>
              <w:t>地下室及潮湿环境应采用具有防水性能的水泥砂浆或预拌防水砂浆；</w:t>
            </w:r>
          </w:p>
          <w:p w14:paraId="7911C26C">
            <w:pPr>
              <w:keepNext w:val="0"/>
              <w:keepLines w:val="0"/>
              <w:pageBreakBefore w:val="0"/>
              <w:widowControl w:val="0"/>
              <w:kinsoku/>
              <w:wordWrap/>
              <w:overflowPunct/>
              <w:topLinePunct w:val="0"/>
              <w:autoSpaceDE/>
              <w:autoSpaceDN/>
              <w:bidi w:val="0"/>
              <w:adjustRightInd/>
              <w:snapToGrid w:val="0"/>
              <w:spacing w:line="360" w:lineRule="auto"/>
              <w:ind w:firstLine="422" w:firstLineChars="200"/>
              <w:textAlignment w:val="auto"/>
              <w:outlineLvl w:val="9"/>
              <w:rPr>
                <w:rFonts w:ascii="Times New Roman" w:hAnsi="Times New Roman" w:eastAsia="宋体" w:cs="Times New Roman"/>
                <w:bCs/>
                <w:kern w:val="2"/>
                <w:sz w:val="21"/>
                <w:szCs w:val="21"/>
                <w:lang w:val="en-US" w:eastAsia="zh-CN" w:bidi="ar-SA"/>
              </w:rPr>
            </w:pPr>
            <w:r>
              <w:rPr>
                <w:b/>
                <w:color w:val="auto"/>
                <w:highlight w:val="none"/>
              </w:rPr>
              <w:t xml:space="preserve">5  </w:t>
            </w:r>
            <w:r>
              <w:rPr>
                <w:color w:val="auto"/>
                <w:highlight w:val="none"/>
              </w:rPr>
              <w:t>墙体宜采用薄层抹灰砂浆。</w:t>
            </w:r>
          </w:p>
        </w:tc>
        <w:tc>
          <w:tcPr>
            <w:tcW w:w="4716" w:type="dxa"/>
            <w:vAlign w:val="center"/>
          </w:tcPr>
          <w:p w14:paraId="73D4A618">
            <w:pPr>
              <w:keepNext w:val="0"/>
              <w:keepLines w:val="0"/>
              <w:pageBreakBefore w:val="0"/>
              <w:widowControl w:val="0"/>
              <w:kinsoku/>
              <w:wordWrap/>
              <w:overflowPunct/>
              <w:topLinePunct w:val="0"/>
              <w:autoSpaceDE/>
              <w:autoSpaceDN/>
              <w:bidi w:val="0"/>
              <w:adjustRightInd/>
              <w:snapToGrid w:val="0"/>
              <w:spacing w:line="360" w:lineRule="auto"/>
              <w:textAlignment w:val="auto"/>
              <w:rPr>
                <w:color w:val="auto"/>
                <w:highlight w:val="none"/>
              </w:rPr>
            </w:pPr>
            <w:r>
              <w:rPr>
                <w:b/>
                <w:color w:val="auto"/>
                <w:highlight w:val="none"/>
              </w:rPr>
              <w:t xml:space="preserve">3.4.5  </w:t>
            </w:r>
            <w:r>
              <w:rPr>
                <w:color w:val="auto"/>
                <w:highlight w:val="none"/>
              </w:rPr>
              <w:t xml:space="preserve">抹灰砂浆应符合下列规定： </w:t>
            </w:r>
          </w:p>
          <w:p w14:paraId="697FF973">
            <w:pPr>
              <w:keepNext w:val="0"/>
              <w:keepLines w:val="0"/>
              <w:pageBreakBefore w:val="0"/>
              <w:widowControl w:val="0"/>
              <w:kinsoku/>
              <w:wordWrap/>
              <w:overflowPunct/>
              <w:topLinePunct w:val="0"/>
              <w:autoSpaceDE/>
              <w:autoSpaceDN/>
              <w:bidi w:val="0"/>
              <w:adjustRightInd/>
              <w:snapToGrid w:val="0"/>
              <w:spacing w:line="360" w:lineRule="auto"/>
              <w:ind w:firstLine="422" w:firstLineChars="200"/>
              <w:textAlignment w:val="auto"/>
              <w:rPr>
                <w:color w:val="auto"/>
                <w:highlight w:val="none"/>
              </w:rPr>
            </w:pPr>
            <w:r>
              <w:rPr>
                <w:b/>
                <w:color w:val="auto"/>
                <w:highlight w:val="none"/>
              </w:rPr>
              <w:t xml:space="preserve">1  </w:t>
            </w:r>
            <w:r>
              <w:rPr>
                <w:color w:val="auto"/>
                <w:highlight w:val="none"/>
              </w:rPr>
              <w:t>相关应用标准应给出抹灰砂浆的抗压强度等级及粘结强度最低限值和收缩率指标；</w:t>
            </w:r>
          </w:p>
          <w:p w14:paraId="664DD81A">
            <w:pPr>
              <w:keepNext w:val="0"/>
              <w:keepLines w:val="0"/>
              <w:pageBreakBefore w:val="0"/>
              <w:widowControl w:val="0"/>
              <w:kinsoku/>
              <w:wordWrap/>
              <w:overflowPunct/>
              <w:topLinePunct w:val="0"/>
              <w:autoSpaceDE/>
              <w:autoSpaceDN/>
              <w:bidi w:val="0"/>
              <w:adjustRightInd/>
              <w:snapToGrid w:val="0"/>
              <w:spacing w:line="360" w:lineRule="auto"/>
              <w:ind w:firstLine="422" w:firstLineChars="200"/>
              <w:textAlignment w:val="auto"/>
              <w:rPr>
                <w:color w:val="auto"/>
                <w:highlight w:val="none"/>
              </w:rPr>
            </w:pPr>
            <w:r>
              <w:rPr>
                <w:b/>
                <w:color w:val="auto"/>
                <w:highlight w:val="none"/>
              </w:rPr>
              <w:t xml:space="preserve">2  </w:t>
            </w:r>
            <w:r>
              <w:rPr>
                <w:color w:val="auto"/>
                <w:highlight w:val="none"/>
              </w:rPr>
              <w:t>内墙抹灰砂浆的</w:t>
            </w:r>
            <w:r>
              <w:rPr>
                <w:color w:val="auto"/>
                <w:highlight w:val="none"/>
                <w:bdr w:val="single" w:color="000000" w:sz="4" w:space="0"/>
              </w:rPr>
              <w:t>强度等级不应小于M5.0，</w:t>
            </w:r>
            <w:r>
              <w:rPr>
                <w:color w:val="auto"/>
                <w:highlight w:val="none"/>
              </w:rPr>
              <w:t>粘结强度不应小于0.15MPa；</w:t>
            </w:r>
          </w:p>
          <w:p w14:paraId="7E113020">
            <w:pPr>
              <w:keepNext w:val="0"/>
              <w:keepLines w:val="0"/>
              <w:pageBreakBefore w:val="0"/>
              <w:widowControl w:val="0"/>
              <w:kinsoku/>
              <w:wordWrap/>
              <w:overflowPunct/>
              <w:topLinePunct w:val="0"/>
              <w:autoSpaceDE/>
              <w:autoSpaceDN/>
              <w:bidi w:val="0"/>
              <w:adjustRightInd/>
              <w:snapToGrid w:val="0"/>
              <w:spacing w:line="360" w:lineRule="auto"/>
              <w:ind w:firstLine="422" w:firstLineChars="200"/>
              <w:textAlignment w:val="auto"/>
              <w:rPr>
                <w:color w:val="auto"/>
                <w:highlight w:val="none"/>
              </w:rPr>
            </w:pPr>
            <w:r>
              <w:rPr>
                <w:b/>
                <w:color w:val="auto"/>
                <w:highlight w:val="none"/>
              </w:rPr>
              <w:t xml:space="preserve">3  </w:t>
            </w:r>
            <w:r>
              <w:rPr>
                <w:color w:val="auto"/>
                <w:highlight w:val="none"/>
              </w:rPr>
              <w:t>外墙抹灰砂浆宜采用防裂砂浆</w:t>
            </w:r>
            <w:r>
              <w:rPr>
                <w:rFonts w:hint="eastAsia"/>
                <w:color w:val="auto"/>
                <w:highlight w:val="none"/>
                <w:lang w:eastAsia="zh-CN"/>
              </w:rPr>
              <w:t>；</w:t>
            </w:r>
            <w:r>
              <w:rPr>
                <w:color w:val="auto"/>
                <w:highlight w:val="none"/>
              </w:rPr>
              <w:t>采暖地区砂浆强度等级不应小于M10，非采暖地区砂浆强度等级不应小于M7.5；蒸压加气混凝土砂浆强度等级宜为Ma5.0；</w:t>
            </w:r>
          </w:p>
          <w:p w14:paraId="3FC605F0">
            <w:pPr>
              <w:keepNext w:val="0"/>
              <w:keepLines w:val="0"/>
              <w:pageBreakBefore w:val="0"/>
              <w:widowControl w:val="0"/>
              <w:kinsoku/>
              <w:wordWrap/>
              <w:overflowPunct/>
              <w:topLinePunct w:val="0"/>
              <w:autoSpaceDE/>
              <w:autoSpaceDN/>
              <w:bidi w:val="0"/>
              <w:adjustRightInd/>
              <w:snapToGrid w:val="0"/>
              <w:spacing w:line="360" w:lineRule="auto"/>
              <w:ind w:firstLine="422" w:firstLineChars="200"/>
              <w:textAlignment w:val="auto"/>
              <w:rPr>
                <w:color w:val="auto"/>
                <w:highlight w:val="none"/>
              </w:rPr>
            </w:pPr>
            <w:r>
              <w:rPr>
                <w:b/>
                <w:color w:val="auto"/>
                <w:highlight w:val="none"/>
              </w:rPr>
              <w:t xml:space="preserve">4  </w:t>
            </w:r>
            <w:r>
              <w:rPr>
                <w:color w:val="auto"/>
                <w:highlight w:val="none"/>
              </w:rPr>
              <w:t>地下室及潮湿环境应采用具有防水性能的水泥砂浆或预拌防水砂浆；</w:t>
            </w:r>
          </w:p>
          <w:p w14:paraId="226E4D96">
            <w:pPr>
              <w:keepNext w:val="0"/>
              <w:keepLines w:val="0"/>
              <w:pageBreakBefore w:val="0"/>
              <w:widowControl w:val="0"/>
              <w:kinsoku/>
              <w:wordWrap/>
              <w:overflowPunct/>
              <w:topLinePunct w:val="0"/>
              <w:autoSpaceDE/>
              <w:autoSpaceDN/>
              <w:bidi w:val="0"/>
              <w:adjustRightInd/>
              <w:snapToGrid w:val="0"/>
              <w:spacing w:line="360" w:lineRule="auto"/>
              <w:ind w:firstLine="422" w:firstLineChars="200"/>
              <w:textAlignment w:val="auto"/>
              <w:outlineLvl w:val="9"/>
              <w:rPr>
                <w:rFonts w:ascii="Times New Roman" w:hAnsi="Times New Roman"/>
                <w:bCs/>
                <w:szCs w:val="21"/>
              </w:rPr>
            </w:pPr>
            <w:bookmarkStart w:id="12" w:name="_Toc30654"/>
            <w:r>
              <w:rPr>
                <w:b/>
                <w:color w:val="auto"/>
                <w:highlight w:val="none"/>
              </w:rPr>
              <w:t xml:space="preserve">5  </w:t>
            </w:r>
            <w:r>
              <w:rPr>
                <w:color w:val="auto"/>
                <w:highlight w:val="none"/>
              </w:rPr>
              <w:t>墙体宜采用薄层抹灰砂浆。</w:t>
            </w:r>
            <w:bookmarkEnd w:id="12"/>
          </w:p>
        </w:tc>
      </w:tr>
      <w:tr w14:paraId="1540B8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686" w:type="dxa"/>
            <w:shd w:val="clear" w:color="auto" w:fill="auto"/>
            <w:vAlign w:val="center"/>
          </w:tcPr>
          <w:p w14:paraId="0EBF8CF3">
            <w:pPr>
              <w:keepNext w:val="0"/>
              <w:keepLines w:val="0"/>
              <w:pageBreakBefore w:val="0"/>
              <w:widowControl w:val="0"/>
              <w:kinsoku/>
              <w:wordWrap/>
              <w:overflowPunct/>
              <w:topLinePunct w:val="0"/>
              <w:autoSpaceDE/>
              <w:autoSpaceDN/>
              <w:bidi w:val="0"/>
              <w:adjustRightInd/>
              <w:snapToGrid w:val="0"/>
              <w:spacing w:line="360" w:lineRule="auto"/>
              <w:textAlignment w:val="auto"/>
              <w:rPr>
                <w:color w:val="auto"/>
                <w:highlight w:val="none"/>
              </w:rPr>
            </w:pPr>
            <w:r>
              <w:rPr>
                <w:b/>
                <w:color w:val="auto"/>
                <w:highlight w:val="none"/>
              </w:rPr>
              <w:t xml:space="preserve">3.5.1  </w:t>
            </w:r>
            <w:r>
              <w:rPr>
                <w:color w:val="auto"/>
                <w:highlight w:val="none"/>
              </w:rPr>
              <w:t>墙体保温材料应符合下列规定：</w:t>
            </w:r>
          </w:p>
          <w:p w14:paraId="462BB5C9">
            <w:pPr>
              <w:keepNext w:val="0"/>
              <w:keepLines w:val="0"/>
              <w:pageBreakBefore w:val="0"/>
              <w:widowControl w:val="0"/>
              <w:kinsoku/>
              <w:wordWrap/>
              <w:overflowPunct/>
              <w:topLinePunct w:val="0"/>
              <w:autoSpaceDE/>
              <w:autoSpaceDN/>
              <w:bidi w:val="0"/>
              <w:adjustRightInd/>
              <w:spacing w:line="360" w:lineRule="auto"/>
              <w:ind w:firstLine="422" w:firstLineChars="200"/>
              <w:textAlignment w:val="auto"/>
              <w:outlineLvl w:val="9"/>
              <w:rPr>
                <w:color w:val="auto"/>
                <w:highlight w:val="none"/>
              </w:rPr>
            </w:pPr>
            <w:r>
              <w:rPr>
                <w:b/>
                <w:color w:val="auto"/>
                <w:highlight w:val="none"/>
              </w:rPr>
              <w:t xml:space="preserve">5  </w:t>
            </w:r>
            <w:r>
              <w:rPr>
                <w:color w:val="auto"/>
                <w:highlight w:val="none"/>
              </w:rPr>
              <w:t>胶粉模塑聚苯板颗粒保温浆料的抗压强度不应小于0.20MPa,无机保温砂浆压缩强度不应小于0.40MPa</w:t>
            </w:r>
            <w:r>
              <w:rPr>
                <w:rFonts w:hint="eastAsia"/>
                <w:color w:val="auto"/>
                <w:highlight w:val="none"/>
              </w:rPr>
              <w:t>，</w:t>
            </w:r>
            <w:r>
              <w:rPr>
                <w:color w:val="auto"/>
                <w:highlight w:val="none"/>
              </w:rPr>
              <w:t>浆料养护不得少于28d</w:t>
            </w:r>
            <w:r>
              <w:rPr>
                <w:rFonts w:hint="eastAsia"/>
                <w:color w:val="auto"/>
                <w:highlight w:val="none"/>
              </w:rPr>
              <w:t>；</w:t>
            </w:r>
          </w:p>
          <w:p w14:paraId="665C876A">
            <w:pPr>
              <w:keepNext w:val="0"/>
              <w:keepLines w:val="0"/>
              <w:pageBreakBefore w:val="0"/>
              <w:widowControl w:val="0"/>
              <w:kinsoku/>
              <w:wordWrap/>
              <w:overflowPunct/>
              <w:topLinePunct w:val="0"/>
              <w:autoSpaceDE/>
              <w:autoSpaceDN/>
              <w:bidi w:val="0"/>
              <w:adjustRightInd/>
              <w:spacing w:line="360" w:lineRule="auto"/>
              <w:ind w:firstLine="422" w:firstLineChars="200"/>
              <w:textAlignment w:val="auto"/>
              <w:outlineLvl w:val="9"/>
              <w:rPr>
                <w:color w:val="auto"/>
                <w:highlight w:val="none"/>
              </w:rPr>
            </w:pPr>
            <w:r>
              <w:rPr>
                <w:b/>
                <w:color w:val="auto"/>
                <w:highlight w:val="none"/>
              </w:rPr>
              <w:t xml:space="preserve">6  </w:t>
            </w:r>
            <w:r>
              <w:rPr>
                <w:color w:val="auto"/>
                <w:highlight w:val="none"/>
              </w:rPr>
              <w:t>墙体保温材料的导热系数应符合现行国家标准《民用建筑热工设计规范》GB 50176的有关规定</w:t>
            </w:r>
            <w:r>
              <w:rPr>
                <w:rFonts w:hint="eastAsia"/>
                <w:b/>
                <w:color w:val="auto"/>
                <w:highlight w:val="none"/>
              </w:rPr>
              <w:t>；</w:t>
            </w:r>
          </w:p>
          <w:p w14:paraId="0436806A">
            <w:pPr>
              <w:keepNext w:val="0"/>
              <w:keepLines w:val="0"/>
              <w:pageBreakBefore w:val="0"/>
              <w:widowControl w:val="0"/>
              <w:kinsoku/>
              <w:wordWrap/>
              <w:overflowPunct/>
              <w:topLinePunct w:val="0"/>
              <w:autoSpaceDE/>
              <w:autoSpaceDN/>
              <w:bidi w:val="0"/>
              <w:adjustRightInd/>
              <w:spacing w:line="360" w:lineRule="auto"/>
              <w:ind w:firstLine="422" w:firstLineChars="200"/>
              <w:textAlignment w:val="auto"/>
              <w:outlineLvl w:val="9"/>
              <w:rPr>
                <w:color w:val="auto"/>
                <w:highlight w:val="none"/>
              </w:rPr>
            </w:pPr>
            <w:r>
              <w:rPr>
                <w:b/>
                <w:color w:val="auto"/>
                <w:highlight w:val="none"/>
              </w:rPr>
              <w:t xml:space="preserve">7  </w:t>
            </w:r>
            <w:r>
              <w:rPr>
                <w:color w:val="auto"/>
                <w:highlight w:val="none"/>
              </w:rPr>
              <w:t>聚苯板的氧指数及出厂前的尺寸稳定性应符合现行国家标准《绝热用模塑聚苯乙烯泡沫塑料》GB/T 10801.1和《绝热用挤塑聚苯乙烯泡沫塑料》GB/T 10801.2的有关规定；</w:t>
            </w:r>
          </w:p>
          <w:p w14:paraId="202E4C05">
            <w:pPr>
              <w:keepNext w:val="0"/>
              <w:keepLines w:val="0"/>
              <w:pageBreakBefore w:val="0"/>
              <w:widowControl w:val="0"/>
              <w:kinsoku/>
              <w:wordWrap/>
              <w:overflowPunct/>
              <w:topLinePunct w:val="0"/>
              <w:autoSpaceDE/>
              <w:autoSpaceDN/>
              <w:bidi w:val="0"/>
              <w:adjustRightInd/>
              <w:spacing w:line="360" w:lineRule="auto"/>
              <w:ind w:firstLine="422" w:firstLineChars="200"/>
              <w:textAlignment w:val="auto"/>
              <w:outlineLvl w:val="9"/>
              <w:rPr>
                <w:rFonts w:ascii="Times New Roman" w:hAnsi="Times New Roman" w:eastAsia="宋体" w:cs="Times New Roman"/>
                <w:bCs/>
                <w:kern w:val="2"/>
                <w:sz w:val="21"/>
                <w:szCs w:val="21"/>
                <w:lang w:val="en-US" w:eastAsia="zh-CN" w:bidi="ar-SA"/>
              </w:rPr>
            </w:pPr>
            <w:r>
              <w:rPr>
                <w:rFonts w:hint="eastAsia"/>
                <w:b/>
                <w:bCs/>
                <w:color w:val="auto"/>
                <w:highlight w:val="none"/>
                <w:u w:val="none"/>
                <w:lang w:val="en-US" w:eastAsia="zh-CN"/>
              </w:rPr>
              <w:t>8</w:t>
            </w:r>
            <w:r>
              <w:rPr>
                <w:rFonts w:hint="eastAsia"/>
                <w:color w:val="auto"/>
                <w:highlight w:val="none"/>
                <w:u w:val="none"/>
                <w:lang w:val="en-US" w:eastAsia="zh-CN"/>
              </w:rPr>
              <w:t xml:space="preserve">  进场保温材料应有永久性标识，并应标明产品类型、规格及型号，产品说明书应注明产品燃烧性能级别和使用寿命期限。</w:t>
            </w:r>
          </w:p>
        </w:tc>
        <w:tc>
          <w:tcPr>
            <w:tcW w:w="4716" w:type="dxa"/>
            <w:vAlign w:val="center"/>
          </w:tcPr>
          <w:p w14:paraId="6EE10707">
            <w:pPr>
              <w:keepNext w:val="0"/>
              <w:keepLines w:val="0"/>
              <w:pageBreakBefore w:val="0"/>
              <w:widowControl w:val="0"/>
              <w:kinsoku/>
              <w:wordWrap/>
              <w:overflowPunct/>
              <w:topLinePunct w:val="0"/>
              <w:autoSpaceDE/>
              <w:autoSpaceDN/>
              <w:bidi w:val="0"/>
              <w:adjustRightInd/>
              <w:snapToGrid w:val="0"/>
              <w:spacing w:line="360" w:lineRule="auto"/>
              <w:textAlignment w:val="auto"/>
              <w:rPr>
                <w:color w:val="auto"/>
                <w:highlight w:val="none"/>
              </w:rPr>
            </w:pPr>
            <w:r>
              <w:rPr>
                <w:b/>
                <w:color w:val="auto"/>
                <w:highlight w:val="none"/>
              </w:rPr>
              <w:t xml:space="preserve">3.5.1  </w:t>
            </w:r>
            <w:r>
              <w:rPr>
                <w:color w:val="auto"/>
                <w:highlight w:val="none"/>
              </w:rPr>
              <w:t>墙体保温材料应符合下列规定：</w:t>
            </w:r>
          </w:p>
          <w:p w14:paraId="5FD88C67">
            <w:pPr>
              <w:keepNext w:val="0"/>
              <w:keepLines w:val="0"/>
              <w:pageBreakBefore w:val="0"/>
              <w:widowControl w:val="0"/>
              <w:kinsoku/>
              <w:wordWrap/>
              <w:overflowPunct/>
              <w:topLinePunct w:val="0"/>
              <w:autoSpaceDE/>
              <w:autoSpaceDN/>
              <w:bidi w:val="0"/>
              <w:adjustRightInd/>
              <w:spacing w:line="360" w:lineRule="auto"/>
              <w:ind w:firstLine="422" w:firstLineChars="200"/>
              <w:textAlignment w:val="auto"/>
              <w:outlineLvl w:val="9"/>
              <w:rPr>
                <w:color w:val="auto"/>
                <w:highlight w:val="none"/>
              </w:rPr>
            </w:pPr>
            <w:r>
              <w:rPr>
                <w:b/>
                <w:color w:val="auto"/>
                <w:highlight w:val="none"/>
              </w:rPr>
              <w:t xml:space="preserve">5  </w:t>
            </w:r>
            <w:r>
              <w:rPr>
                <w:color w:val="auto"/>
                <w:highlight w:val="none"/>
              </w:rPr>
              <w:t>胶粉模塑聚苯板颗粒保温浆料的抗压强度不应小于0.20MPa,无机保温砂浆</w:t>
            </w:r>
            <w:r>
              <w:rPr>
                <w:color w:val="auto"/>
                <w:highlight w:val="none"/>
                <w:bdr w:val="single" w:color="000000" w:sz="4" w:space="0"/>
              </w:rPr>
              <w:t>压缩</w:t>
            </w:r>
            <w:r>
              <w:rPr>
                <w:rFonts w:hint="eastAsia"/>
                <w:color w:val="auto"/>
                <w:highlight w:val="none"/>
                <w:u w:val="single"/>
                <w:lang w:val="en-US" w:eastAsia="zh-CN"/>
              </w:rPr>
              <w:t>抗压</w:t>
            </w:r>
            <w:r>
              <w:rPr>
                <w:color w:val="auto"/>
                <w:highlight w:val="none"/>
              </w:rPr>
              <w:t>强度不应小于0.40MPa</w:t>
            </w:r>
            <w:r>
              <w:rPr>
                <w:rFonts w:hint="eastAsia"/>
                <w:color w:val="auto"/>
                <w:highlight w:val="none"/>
              </w:rPr>
              <w:t>，</w:t>
            </w:r>
            <w:r>
              <w:rPr>
                <w:color w:val="auto"/>
                <w:highlight w:val="none"/>
              </w:rPr>
              <w:t>浆料养护不得少于28d</w:t>
            </w:r>
            <w:r>
              <w:rPr>
                <w:rFonts w:hint="eastAsia"/>
                <w:color w:val="auto"/>
                <w:highlight w:val="none"/>
              </w:rPr>
              <w:t>；</w:t>
            </w:r>
          </w:p>
          <w:p w14:paraId="7528E5CE">
            <w:pPr>
              <w:keepNext w:val="0"/>
              <w:keepLines w:val="0"/>
              <w:pageBreakBefore w:val="0"/>
              <w:widowControl w:val="0"/>
              <w:kinsoku/>
              <w:wordWrap/>
              <w:overflowPunct/>
              <w:topLinePunct w:val="0"/>
              <w:autoSpaceDE/>
              <w:autoSpaceDN/>
              <w:bidi w:val="0"/>
              <w:adjustRightInd/>
              <w:spacing w:line="360" w:lineRule="auto"/>
              <w:ind w:firstLine="422" w:firstLineChars="200"/>
              <w:textAlignment w:val="auto"/>
              <w:outlineLvl w:val="9"/>
              <w:rPr>
                <w:color w:val="auto"/>
                <w:highlight w:val="none"/>
              </w:rPr>
            </w:pPr>
            <w:r>
              <w:rPr>
                <w:b/>
                <w:color w:val="auto"/>
                <w:highlight w:val="none"/>
              </w:rPr>
              <w:t xml:space="preserve">6  </w:t>
            </w:r>
            <w:r>
              <w:rPr>
                <w:color w:val="auto"/>
                <w:highlight w:val="none"/>
              </w:rPr>
              <w:t>墙体保温材料的导热系数应符合现行国家标准《民用建筑热工设计规范》GB 50176的有关规定</w:t>
            </w:r>
            <w:r>
              <w:rPr>
                <w:rFonts w:hint="eastAsia"/>
                <w:b/>
                <w:color w:val="auto"/>
                <w:highlight w:val="none"/>
              </w:rPr>
              <w:t>；</w:t>
            </w:r>
          </w:p>
          <w:p w14:paraId="17C77003">
            <w:pPr>
              <w:keepNext w:val="0"/>
              <w:keepLines w:val="0"/>
              <w:pageBreakBefore w:val="0"/>
              <w:widowControl w:val="0"/>
              <w:kinsoku/>
              <w:wordWrap/>
              <w:overflowPunct/>
              <w:topLinePunct w:val="0"/>
              <w:autoSpaceDE/>
              <w:autoSpaceDN/>
              <w:bidi w:val="0"/>
              <w:adjustRightInd/>
              <w:spacing w:line="360" w:lineRule="auto"/>
              <w:ind w:firstLine="422" w:firstLineChars="200"/>
              <w:textAlignment w:val="auto"/>
              <w:outlineLvl w:val="9"/>
              <w:rPr>
                <w:color w:val="auto"/>
                <w:highlight w:val="none"/>
              </w:rPr>
            </w:pPr>
            <w:r>
              <w:rPr>
                <w:b/>
                <w:color w:val="auto"/>
                <w:highlight w:val="none"/>
              </w:rPr>
              <w:t xml:space="preserve">7  </w:t>
            </w:r>
            <w:r>
              <w:rPr>
                <w:color w:val="auto"/>
                <w:highlight w:val="none"/>
              </w:rPr>
              <w:t>聚苯板的氧指数及出厂前的尺寸稳定性应符合现行国家标准《绝热用模塑聚苯乙烯泡沫塑料</w:t>
            </w:r>
            <w:r>
              <w:rPr>
                <w:rFonts w:hint="eastAsia"/>
                <w:color w:val="auto"/>
                <w:highlight w:val="none"/>
                <w:u w:val="single"/>
                <w:lang w:eastAsia="zh-CN"/>
              </w:rPr>
              <w:t>（</w:t>
            </w:r>
            <w:r>
              <w:rPr>
                <w:rFonts w:hint="eastAsia"/>
                <w:color w:val="auto"/>
                <w:highlight w:val="none"/>
                <w:u w:val="single"/>
                <w:lang w:val="en-US" w:eastAsia="zh-CN"/>
              </w:rPr>
              <w:t>EPS</w:t>
            </w:r>
            <w:r>
              <w:rPr>
                <w:rFonts w:hint="eastAsia"/>
                <w:color w:val="auto"/>
                <w:highlight w:val="none"/>
                <w:u w:val="single"/>
                <w:lang w:eastAsia="zh-CN"/>
              </w:rPr>
              <w:t>）</w:t>
            </w:r>
            <w:r>
              <w:rPr>
                <w:color w:val="auto"/>
                <w:highlight w:val="none"/>
              </w:rPr>
              <w:t>》GB/T 10801.1和《绝热用挤塑聚苯乙烯泡沫塑料</w:t>
            </w:r>
            <w:r>
              <w:rPr>
                <w:rFonts w:hint="eastAsia"/>
                <w:color w:val="auto"/>
                <w:highlight w:val="none"/>
                <w:u w:val="single"/>
                <w:lang w:eastAsia="zh-CN"/>
              </w:rPr>
              <w:t>（</w:t>
            </w:r>
            <w:r>
              <w:rPr>
                <w:rFonts w:hint="eastAsia"/>
                <w:color w:val="auto"/>
                <w:highlight w:val="none"/>
                <w:u w:val="single"/>
                <w:lang w:val="en-US" w:eastAsia="zh-CN"/>
              </w:rPr>
              <w:t>XPS</w:t>
            </w:r>
            <w:r>
              <w:rPr>
                <w:rFonts w:hint="eastAsia"/>
                <w:color w:val="auto"/>
                <w:highlight w:val="none"/>
                <w:u w:val="single"/>
                <w:lang w:eastAsia="zh-CN"/>
              </w:rPr>
              <w:t>）</w:t>
            </w:r>
            <w:r>
              <w:rPr>
                <w:color w:val="auto"/>
                <w:highlight w:val="none"/>
              </w:rPr>
              <w:t>》GB/T 10801.2的有关规定；</w:t>
            </w:r>
          </w:p>
          <w:p w14:paraId="1F79810A">
            <w:pPr>
              <w:keepNext w:val="0"/>
              <w:keepLines w:val="0"/>
              <w:pageBreakBefore w:val="0"/>
              <w:widowControl w:val="0"/>
              <w:kinsoku/>
              <w:wordWrap/>
              <w:overflowPunct/>
              <w:topLinePunct w:val="0"/>
              <w:autoSpaceDE/>
              <w:autoSpaceDN/>
              <w:bidi w:val="0"/>
              <w:adjustRightInd/>
              <w:spacing w:line="360" w:lineRule="auto"/>
              <w:ind w:firstLine="422" w:firstLineChars="200"/>
              <w:textAlignment w:val="auto"/>
              <w:outlineLvl w:val="9"/>
              <w:rPr>
                <w:rFonts w:ascii="Times New Roman" w:hAnsi="Times New Roman"/>
                <w:bCs/>
                <w:szCs w:val="21"/>
              </w:rPr>
            </w:pPr>
            <w:r>
              <w:rPr>
                <w:rFonts w:hint="eastAsia"/>
                <w:b/>
                <w:bCs/>
                <w:color w:val="auto"/>
                <w:highlight w:val="none"/>
                <w:u w:val="none"/>
                <w:lang w:val="en-US" w:eastAsia="zh-CN"/>
              </w:rPr>
              <w:t>8</w:t>
            </w:r>
            <w:r>
              <w:rPr>
                <w:rFonts w:hint="eastAsia"/>
                <w:color w:val="auto"/>
                <w:highlight w:val="none"/>
                <w:u w:val="none"/>
                <w:lang w:val="en-US" w:eastAsia="zh-CN"/>
              </w:rPr>
              <w:t xml:space="preserve">  进场保温材料应有永久性标识，并应标明产品类型、规格及型号，产品说明书应注明产品燃烧性能级别和</w:t>
            </w:r>
            <w:r>
              <w:rPr>
                <w:rFonts w:hint="eastAsia"/>
                <w:color w:val="auto"/>
                <w:highlight w:val="none"/>
                <w:u w:val="none"/>
                <w:bdr w:val="single" w:sz="4" w:space="0"/>
                <w:lang w:val="en-US" w:eastAsia="zh-CN"/>
              </w:rPr>
              <w:t>使用寿命</w:t>
            </w:r>
            <w:r>
              <w:rPr>
                <w:rFonts w:hint="eastAsia"/>
                <w:color w:val="auto"/>
                <w:highlight w:val="none"/>
                <w:u w:val="single"/>
                <w:lang w:val="en-US" w:eastAsia="zh-CN"/>
              </w:rPr>
              <w:t>工作年限</w:t>
            </w:r>
            <w:r>
              <w:rPr>
                <w:rFonts w:hint="eastAsia"/>
                <w:color w:val="auto"/>
                <w:highlight w:val="none"/>
                <w:u w:val="none"/>
                <w:lang w:val="en-US" w:eastAsia="zh-CN"/>
              </w:rPr>
              <w:t>期限。</w:t>
            </w:r>
          </w:p>
        </w:tc>
      </w:tr>
      <w:tr w14:paraId="26E0F4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686" w:type="dxa"/>
            <w:shd w:val="clear" w:color="auto" w:fill="auto"/>
            <w:vAlign w:val="center"/>
          </w:tcPr>
          <w:p w14:paraId="3CAE89CC">
            <w:pPr>
              <w:keepNext w:val="0"/>
              <w:keepLines w:val="0"/>
              <w:pageBreakBefore w:val="0"/>
              <w:widowControl w:val="0"/>
              <w:kinsoku/>
              <w:wordWrap/>
              <w:overflowPunct/>
              <w:topLinePunct w:val="0"/>
              <w:autoSpaceDE/>
              <w:autoSpaceDN/>
              <w:bidi w:val="0"/>
              <w:adjustRightInd/>
              <w:snapToGrid w:val="0"/>
              <w:spacing w:line="360" w:lineRule="auto"/>
              <w:textAlignment w:val="auto"/>
              <w:outlineLvl w:val="9"/>
              <w:rPr>
                <w:color w:val="auto"/>
                <w:highlight w:val="none"/>
              </w:rPr>
            </w:pPr>
            <w:r>
              <w:rPr>
                <w:b/>
                <w:color w:val="auto"/>
                <w:highlight w:val="none"/>
              </w:rPr>
              <w:t xml:space="preserve">3.5.2  </w:t>
            </w:r>
            <w:r>
              <w:rPr>
                <w:color w:val="auto"/>
                <w:highlight w:val="none"/>
              </w:rPr>
              <w:t>连接材料应符合下列规定：</w:t>
            </w:r>
          </w:p>
          <w:p w14:paraId="7C201ECC">
            <w:pPr>
              <w:keepNext w:val="0"/>
              <w:keepLines w:val="0"/>
              <w:pageBreakBefore w:val="0"/>
              <w:widowControl w:val="0"/>
              <w:kinsoku/>
              <w:wordWrap/>
              <w:overflowPunct/>
              <w:topLinePunct w:val="0"/>
              <w:autoSpaceDE/>
              <w:autoSpaceDN/>
              <w:bidi w:val="0"/>
              <w:adjustRightInd/>
              <w:snapToGrid w:val="0"/>
              <w:spacing w:line="360" w:lineRule="auto"/>
              <w:ind w:firstLine="422" w:firstLineChars="200"/>
              <w:textAlignment w:val="auto"/>
              <w:outlineLvl w:val="9"/>
              <w:rPr>
                <w:color w:val="auto"/>
                <w:highlight w:val="none"/>
              </w:rPr>
            </w:pPr>
            <w:r>
              <w:rPr>
                <w:b/>
                <w:color w:val="auto"/>
                <w:highlight w:val="none"/>
              </w:rPr>
              <w:t xml:space="preserve">1  </w:t>
            </w:r>
            <w:r>
              <w:rPr>
                <w:color w:val="auto"/>
                <w:highlight w:val="none"/>
              </w:rPr>
              <w:t>金属连接部件应进行防腐蚀处理或采用不锈钢连接件；</w:t>
            </w:r>
          </w:p>
          <w:p w14:paraId="06DB891A">
            <w:pPr>
              <w:keepNext w:val="0"/>
              <w:keepLines w:val="0"/>
              <w:pageBreakBefore w:val="0"/>
              <w:widowControl w:val="0"/>
              <w:kinsoku/>
              <w:wordWrap/>
              <w:overflowPunct/>
              <w:topLinePunct w:val="0"/>
              <w:autoSpaceDE/>
              <w:autoSpaceDN/>
              <w:bidi w:val="0"/>
              <w:adjustRightInd/>
              <w:snapToGrid w:val="0"/>
              <w:spacing w:line="360" w:lineRule="auto"/>
              <w:ind w:firstLine="422" w:firstLineChars="200"/>
              <w:textAlignment w:val="auto"/>
              <w:outlineLvl w:val="9"/>
              <w:rPr>
                <w:color w:val="auto"/>
                <w:highlight w:val="none"/>
              </w:rPr>
            </w:pPr>
            <w:r>
              <w:rPr>
                <w:b/>
                <w:color w:val="auto"/>
                <w:highlight w:val="none"/>
              </w:rPr>
              <w:t xml:space="preserve">2  </w:t>
            </w:r>
            <w:r>
              <w:rPr>
                <w:color w:val="auto"/>
                <w:highlight w:val="none"/>
              </w:rPr>
              <w:t>连接部件应满足现行行业标准《膨胀聚苯板薄抹灰外墙外保温系统》JG 149的技术性能指标要求。其产品说明书应注明材料使用寿命期限，不得采用再生材料制品。</w:t>
            </w:r>
          </w:p>
          <w:p w14:paraId="5AD01B8F">
            <w:pPr>
              <w:keepNext w:val="0"/>
              <w:keepLines w:val="0"/>
              <w:pageBreakBefore w:val="0"/>
              <w:widowControl w:val="0"/>
              <w:kinsoku/>
              <w:wordWrap/>
              <w:overflowPunct/>
              <w:topLinePunct w:val="0"/>
              <w:autoSpaceDE/>
              <w:autoSpaceDN/>
              <w:bidi w:val="0"/>
              <w:adjustRightInd/>
              <w:snapToGrid w:val="0"/>
              <w:spacing w:line="360" w:lineRule="auto"/>
              <w:textAlignment w:val="auto"/>
              <w:rPr>
                <w:rFonts w:ascii="Times New Roman" w:hAnsi="Times New Roman" w:eastAsia="宋体" w:cs="Times New Roman"/>
                <w:bCs/>
                <w:kern w:val="2"/>
                <w:sz w:val="21"/>
                <w:szCs w:val="21"/>
                <w:lang w:val="en-US" w:eastAsia="zh-CN" w:bidi="ar-SA"/>
              </w:rPr>
            </w:pPr>
          </w:p>
        </w:tc>
        <w:tc>
          <w:tcPr>
            <w:tcW w:w="4716" w:type="dxa"/>
            <w:vAlign w:val="center"/>
          </w:tcPr>
          <w:p w14:paraId="3E9B6E9E">
            <w:pPr>
              <w:keepNext w:val="0"/>
              <w:keepLines w:val="0"/>
              <w:pageBreakBefore w:val="0"/>
              <w:widowControl w:val="0"/>
              <w:kinsoku/>
              <w:wordWrap/>
              <w:overflowPunct/>
              <w:topLinePunct w:val="0"/>
              <w:autoSpaceDE/>
              <w:autoSpaceDN/>
              <w:bidi w:val="0"/>
              <w:adjustRightInd/>
              <w:snapToGrid w:val="0"/>
              <w:spacing w:line="360" w:lineRule="auto"/>
              <w:textAlignment w:val="auto"/>
              <w:outlineLvl w:val="9"/>
              <w:rPr>
                <w:color w:val="auto"/>
                <w:highlight w:val="none"/>
              </w:rPr>
            </w:pPr>
            <w:bookmarkStart w:id="13" w:name="_Toc4456"/>
            <w:r>
              <w:rPr>
                <w:b/>
                <w:color w:val="auto"/>
                <w:highlight w:val="none"/>
              </w:rPr>
              <w:t xml:space="preserve">3.5.2  </w:t>
            </w:r>
            <w:r>
              <w:rPr>
                <w:color w:val="auto"/>
                <w:highlight w:val="none"/>
              </w:rPr>
              <w:t>连接材料应符合下列规定：</w:t>
            </w:r>
            <w:bookmarkEnd w:id="13"/>
          </w:p>
          <w:p w14:paraId="2F0FB9E4">
            <w:pPr>
              <w:keepNext w:val="0"/>
              <w:keepLines w:val="0"/>
              <w:pageBreakBefore w:val="0"/>
              <w:widowControl w:val="0"/>
              <w:kinsoku/>
              <w:wordWrap/>
              <w:overflowPunct/>
              <w:topLinePunct w:val="0"/>
              <w:autoSpaceDE/>
              <w:autoSpaceDN/>
              <w:bidi w:val="0"/>
              <w:adjustRightInd/>
              <w:snapToGrid w:val="0"/>
              <w:spacing w:line="360" w:lineRule="auto"/>
              <w:ind w:firstLine="422" w:firstLineChars="200"/>
              <w:textAlignment w:val="auto"/>
              <w:outlineLvl w:val="9"/>
              <w:rPr>
                <w:color w:val="auto"/>
                <w:highlight w:val="none"/>
              </w:rPr>
            </w:pPr>
            <w:bookmarkStart w:id="14" w:name="_Toc15586"/>
            <w:r>
              <w:rPr>
                <w:b/>
                <w:color w:val="auto"/>
                <w:highlight w:val="none"/>
              </w:rPr>
              <w:t xml:space="preserve">1  </w:t>
            </w:r>
            <w:r>
              <w:rPr>
                <w:color w:val="auto"/>
                <w:highlight w:val="none"/>
              </w:rPr>
              <w:t>金属连接部件应进行防腐蚀处理或采用不锈钢连接件；</w:t>
            </w:r>
            <w:bookmarkEnd w:id="14"/>
          </w:p>
          <w:p w14:paraId="022A8883">
            <w:pPr>
              <w:keepNext w:val="0"/>
              <w:keepLines w:val="0"/>
              <w:pageBreakBefore w:val="0"/>
              <w:widowControl w:val="0"/>
              <w:kinsoku/>
              <w:wordWrap/>
              <w:overflowPunct/>
              <w:topLinePunct w:val="0"/>
              <w:autoSpaceDE/>
              <w:autoSpaceDN/>
              <w:bidi w:val="0"/>
              <w:adjustRightInd/>
              <w:snapToGrid w:val="0"/>
              <w:spacing w:line="360" w:lineRule="auto"/>
              <w:ind w:firstLine="422" w:firstLineChars="200"/>
              <w:textAlignment w:val="auto"/>
              <w:outlineLvl w:val="9"/>
              <w:rPr>
                <w:color w:val="auto"/>
                <w:highlight w:val="none"/>
              </w:rPr>
            </w:pPr>
            <w:r>
              <w:rPr>
                <w:b/>
                <w:color w:val="auto"/>
                <w:highlight w:val="none"/>
              </w:rPr>
              <w:t xml:space="preserve">2  </w:t>
            </w:r>
            <w:r>
              <w:rPr>
                <w:color w:val="auto"/>
                <w:highlight w:val="none"/>
              </w:rPr>
              <w:t>连接部件应满足</w:t>
            </w:r>
            <w:r>
              <w:rPr>
                <w:rFonts w:hint="eastAsia"/>
                <w:color w:val="auto"/>
                <w:highlight w:val="none"/>
                <w:u w:val="single"/>
                <w:lang w:val="en-US" w:eastAsia="zh-CN"/>
              </w:rPr>
              <w:t>国家</w:t>
            </w:r>
            <w:r>
              <w:rPr>
                <w:color w:val="auto"/>
                <w:highlight w:val="none"/>
              </w:rPr>
              <w:t>现行</w:t>
            </w:r>
            <w:r>
              <w:rPr>
                <w:color w:val="auto"/>
                <w:highlight w:val="none"/>
                <w:bdr w:val="single" w:color="000000" w:sz="0" w:space="0"/>
              </w:rPr>
              <w:t>行业</w:t>
            </w:r>
            <w:r>
              <w:rPr>
                <w:color w:val="auto"/>
                <w:highlight w:val="none"/>
              </w:rPr>
              <w:t>标准</w:t>
            </w:r>
            <w:r>
              <w:rPr>
                <w:color w:val="auto"/>
                <w:highlight w:val="none"/>
                <w:bdr w:val="single" w:color="000000" w:sz="4" w:space="0"/>
              </w:rPr>
              <w:t>《膨胀聚苯板薄抹灰外墙外保温系统》JG 149</w:t>
            </w:r>
            <w:r>
              <w:rPr>
                <w:color w:val="auto"/>
                <w:highlight w:val="none"/>
              </w:rPr>
              <w:t>的技术性能指标要求。其产品说明书应注明材料</w:t>
            </w:r>
            <w:r>
              <w:rPr>
                <w:color w:val="auto"/>
                <w:highlight w:val="none"/>
                <w:bdr w:val="single" w:sz="4" w:space="0"/>
              </w:rPr>
              <w:t>使用寿命</w:t>
            </w:r>
            <w:r>
              <w:rPr>
                <w:rFonts w:hint="eastAsia"/>
                <w:color w:val="auto"/>
                <w:highlight w:val="none"/>
                <w:u w:val="single"/>
                <w:lang w:val="en-US" w:eastAsia="zh-CN"/>
              </w:rPr>
              <w:t>工作年限</w:t>
            </w:r>
            <w:r>
              <w:rPr>
                <w:color w:val="auto"/>
                <w:highlight w:val="none"/>
              </w:rPr>
              <w:t>期限，不得采用再生材料制品。</w:t>
            </w:r>
          </w:p>
          <w:p w14:paraId="10E3279B">
            <w:pPr>
              <w:keepNext w:val="0"/>
              <w:keepLines w:val="0"/>
              <w:pageBreakBefore w:val="0"/>
              <w:widowControl w:val="0"/>
              <w:kinsoku/>
              <w:wordWrap/>
              <w:overflowPunct/>
              <w:topLinePunct w:val="0"/>
              <w:autoSpaceDE/>
              <w:autoSpaceDN/>
              <w:bidi w:val="0"/>
              <w:adjustRightInd/>
              <w:snapToGrid w:val="0"/>
              <w:spacing w:line="360" w:lineRule="auto"/>
              <w:textAlignment w:val="auto"/>
              <w:rPr>
                <w:rFonts w:ascii="Times New Roman" w:hAnsi="Times New Roman"/>
                <w:bCs/>
                <w:szCs w:val="21"/>
              </w:rPr>
            </w:pPr>
          </w:p>
        </w:tc>
      </w:tr>
    </w:tbl>
    <w:p w14:paraId="7E130662">
      <w:r>
        <w:br w:type="page"/>
      </w:r>
    </w:p>
    <w:tbl>
      <w:tblPr>
        <w:tblStyle w:val="7"/>
        <w:tblW w:w="940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686"/>
        <w:gridCol w:w="4716"/>
      </w:tblGrid>
      <w:tr w14:paraId="0CE895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Header/>
        </w:trPr>
        <w:tc>
          <w:tcPr>
            <w:tcW w:w="4686" w:type="dxa"/>
            <w:vAlign w:val="top"/>
          </w:tcPr>
          <w:p w14:paraId="298FDAF2">
            <w:pPr>
              <w:spacing w:before="120" w:beforeLines="50" w:after="120" w:afterLines="50"/>
              <w:jc w:val="center"/>
              <w:rPr>
                <w:rFonts w:ascii="Times New Roman" w:hAnsi="Times New Roman"/>
                <w:b/>
                <w:bCs/>
                <w:szCs w:val="21"/>
              </w:rPr>
            </w:pPr>
            <w:r>
              <w:rPr>
                <w:rFonts w:ascii="Times New Roman" w:hAnsi="Times New Roman"/>
                <w:b/>
                <w:bCs/>
                <w:szCs w:val="21"/>
              </w:rPr>
              <w:t>现行《标准》条文</w:t>
            </w:r>
          </w:p>
        </w:tc>
        <w:tc>
          <w:tcPr>
            <w:tcW w:w="4716" w:type="dxa"/>
          </w:tcPr>
          <w:p w14:paraId="5B31762A">
            <w:pPr>
              <w:spacing w:before="120" w:beforeLines="50" w:after="120" w:afterLines="50"/>
              <w:jc w:val="center"/>
              <w:rPr>
                <w:rFonts w:ascii="Times New Roman" w:hAnsi="Times New Roman"/>
                <w:b/>
                <w:bCs/>
                <w:szCs w:val="21"/>
              </w:rPr>
            </w:pPr>
            <w:r>
              <w:rPr>
                <w:rFonts w:ascii="Times New Roman" w:hAnsi="Times New Roman"/>
                <w:b/>
                <w:bCs/>
                <w:szCs w:val="21"/>
              </w:rPr>
              <w:t>局部修订征求意见稿</w:t>
            </w:r>
          </w:p>
        </w:tc>
      </w:tr>
      <w:tr w14:paraId="556035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686" w:type="dxa"/>
            <w:shd w:val="clear" w:color="auto" w:fill="auto"/>
            <w:vAlign w:val="top"/>
          </w:tcPr>
          <w:p w14:paraId="1C643C9A">
            <w:pPr>
              <w:spacing w:before="120" w:beforeLines="50" w:after="120" w:afterLines="50"/>
              <w:jc w:val="center"/>
              <w:rPr>
                <w:rFonts w:hint="default" w:ascii="Times New Roman" w:hAnsi="Times New Roman" w:eastAsia="宋体" w:cs="Times New Roman"/>
                <w:b/>
                <w:bCs/>
                <w:kern w:val="2"/>
                <w:sz w:val="21"/>
                <w:szCs w:val="21"/>
                <w:lang w:val="en-US" w:eastAsia="zh-CN" w:bidi="ar-SA"/>
              </w:rPr>
            </w:pPr>
            <w:r>
              <w:rPr>
                <w:rFonts w:hint="eastAsia"/>
                <w:b/>
                <w:bCs/>
                <w:szCs w:val="21"/>
                <w:lang w:val="en-US" w:eastAsia="zh-CN"/>
              </w:rPr>
              <w:t>4 建筑及建筑节能设计</w:t>
            </w:r>
          </w:p>
        </w:tc>
        <w:tc>
          <w:tcPr>
            <w:tcW w:w="4716" w:type="dxa"/>
            <w:shd w:val="clear" w:color="auto" w:fill="auto"/>
            <w:vAlign w:val="top"/>
          </w:tcPr>
          <w:p w14:paraId="5B374DC2">
            <w:pPr>
              <w:spacing w:before="120" w:beforeLines="50" w:after="120" w:afterLines="50"/>
              <w:jc w:val="center"/>
              <w:rPr>
                <w:rFonts w:hint="default" w:ascii="Times New Roman" w:hAnsi="Times New Roman" w:eastAsia="宋体" w:cs="Times New Roman"/>
                <w:b/>
                <w:bCs/>
                <w:kern w:val="2"/>
                <w:sz w:val="21"/>
                <w:szCs w:val="21"/>
                <w:lang w:val="en-US" w:eastAsia="zh-CN" w:bidi="ar-SA"/>
              </w:rPr>
            </w:pPr>
            <w:r>
              <w:rPr>
                <w:rFonts w:hint="eastAsia"/>
                <w:b/>
                <w:bCs/>
                <w:szCs w:val="21"/>
                <w:lang w:val="en-US" w:eastAsia="zh-CN"/>
              </w:rPr>
              <w:t>4 建筑及建筑节能设计</w:t>
            </w:r>
          </w:p>
        </w:tc>
      </w:tr>
      <w:tr w14:paraId="4CBB52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686" w:type="dxa"/>
            <w:shd w:val="clear" w:color="auto" w:fill="auto"/>
            <w:vAlign w:val="top"/>
          </w:tcPr>
          <w:p w14:paraId="2948C3AD">
            <w:pPr>
              <w:keepNext w:val="0"/>
              <w:keepLines w:val="0"/>
              <w:pageBreakBefore w:val="0"/>
              <w:widowControl w:val="0"/>
              <w:kinsoku/>
              <w:wordWrap/>
              <w:overflowPunct/>
              <w:topLinePunct w:val="0"/>
              <w:autoSpaceDE/>
              <w:autoSpaceDN/>
              <w:bidi w:val="0"/>
              <w:adjustRightInd/>
              <w:snapToGrid w:val="0"/>
              <w:spacing w:line="360" w:lineRule="auto"/>
              <w:textAlignment w:val="auto"/>
              <w:outlineLvl w:val="9"/>
              <w:rPr>
                <w:b/>
                <w:color w:val="auto"/>
                <w:highlight w:val="none"/>
              </w:rPr>
            </w:pPr>
            <w:r>
              <w:rPr>
                <w:b/>
                <w:bCs w:val="0"/>
                <w:color w:val="auto"/>
                <w:highlight w:val="none"/>
              </w:rPr>
              <w:t xml:space="preserve">4.1.8  </w:t>
            </w:r>
            <w:r>
              <w:rPr>
                <w:rFonts w:hint="eastAsia" w:ascii="黑体" w:hAnsi="黑体" w:eastAsia="黑体" w:cs="黑体"/>
                <w:b/>
                <w:bCs w:val="0"/>
                <w:color w:val="auto"/>
                <w:highlight w:val="none"/>
              </w:rPr>
              <w:t>建筑设计不得采用含有石棉纤维、未经防腐和防虫蛀处理的植物纤维墙体材料。</w:t>
            </w:r>
          </w:p>
        </w:tc>
        <w:tc>
          <w:tcPr>
            <w:tcW w:w="4716" w:type="dxa"/>
            <w:shd w:val="clear" w:color="auto" w:fill="auto"/>
            <w:vAlign w:val="top"/>
          </w:tcPr>
          <w:p w14:paraId="2209AC1B">
            <w:pPr>
              <w:keepNext w:val="0"/>
              <w:keepLines w:val="0"/>
              <w:pageBreakBefore w:val="0"/>
              <w:widowControl w:val="0"/>
              <w:kinsoku/>
              <w:wordWrap/>
              <w:overflowPunct/>
              <w:topLinePunct w:val="0"/>
              <w:autoSpaceDE/>
              <w:autoSpaceDN/>
              <w:bidi w:val="0"/>
              <w:adjustRightInd/>
              <w:snapToGrid w:val="0"/>
              <w:spacing w:line="360" w:lineRule="auto"/>
              <w:textAlignment w:val="auto"/>
              <w:outlineLvl w:val="9"/>
              <w:rPr>
                <w:b/>
                <w:color w:val="auto"/>
                <w:highlight w:val="none"/>
              </w:rPr>
            </w:pPr>
            <w:r>
              <w:rPr>
                <w:b/>
                <w:bCs w:val="0"/>
                <w:color w:val="auto"/>
                <w:highlight w:val="none"/>
                <w:bdr w:val="single" w:color="000000" w:sz="4" w:space="0"/>
              </w:rPr>
              <w:t xml:space="preserve">4.1.8  </w:t>
            </w:r>
            <w:r>
              <w:rPr>
                <w:rFonts w:hint="eastAsia" w:ascii="黑体" w:hAnsi="黑体" w:eastAsia="黑体" w:cs="黑体"/>
                <w:b/>
                <w:bCs w:val="0"/>
                <w:color w:val="auto"/>
                <w:highlight w:val="none"/>
                <w:bdr w:val="single" w:color="000000" w:sz="4" w:space="0"/>
              </w:rPr>
              <w:t>建筑设计不得采用含有石棉纤维、未经防腐和防虫蛀处理的植物纤维墙体材料。</w:t>
            </w:r>
          </w:p>
        </w:tc>
      </w:tr>
      <w:tr w14:paraId="14276D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686" w:type="dxa"/>
            <w:shd w:val="clear" w:color="auto" w:fill="auto"/>
            <w:vAlign w:val="top"/>
          </w:tcPr>
          <w:p w14:paraId="7FF05134">
            <w:pPr>
              <w:keepNext w:val="0"/>
              <w:keepLines w:val="0"/>
              <w:pageBreakBefore w:val="0"/>
              <w:widowControl w:val="0"/>
              <w:kinsoku/>
              <w:wordWrap/>
              <w:overflowPunct/>
              <w:topLinePunct w:val="0"/>
              <w:autoSpaceDE/>
              <w:autoSpaceDN/>
              <w:bidi w:val="0"/>
              <w:adjustRightInd/>
              <w:snapToGrid w:val="0"/>
              <w:spacing w:line="360" w:lineRule="auto"/>
              <w:textAlignment w:val="auto"/>
              <w:outlineLvl w:val="9"/>
              <w:rPr>
                <w:b/>
                <w:bCs w:val="0"/>
                <w:color w:val="auto"/>
                <w:highlight w:val="none"/>
              </w:rPr>
            </w:pPr>
          </w:p>
        </w:tc>
        <w:tc>
          <w:tcPr>
            <w:tcW w:w="4716" w:type="dxa"/>
            <w:shd w:val="clear" w:color="auto" w:fill="auto"/>
            <w:vAlign w:val="top"/>
          </w:tcPr>
          <w:p w14:paraId="75F97D2A">
            <w:pPr>
              <w:keepNext w:val="0"/>
              <w:keepLines w:val="0"/>
              <w:pageBreakBefore w:val="0"/>
              <w:widowControl w:val="0"/>
              <w:kinsoku/>
              <w:wordWrap/>
              <w:overflowPunct/>
              <w:topLinePunct w:val="0"/>
              <w:autoSpaceDE/>
              <w:autoSpaceDN/>
              <w:bidi w:val="0"/>
              <w:adjustRightInd/>
              <w:snapToGrid w:val="0"/>
              <w:spacing w:line="360" w:lineRule="auto"/>
              <w:textAlignment w:val="auto"/>
              <w:outlineLvl w:val="9"/>
              <w:rPr>
                <w:b/>
                <w:bCs w:val="0"/>
                <w:color w:val="auto"/>
                <w:highlight w:val="none"/>
                <w:bdr w:val="single" w:color="000000" w:sz="4" w:space="0"/>
              </w:rPr>
            </w:pPr>
            <w:r>
              <w:rPr>
                <w:b/>
                <w:color w:val="auto"/>
                <w:highlight w:val="none"/>
                <w:u w:val="single"/>
              </w:rPr>
              <w:t>4.1.8</w:t>
            </w:r>
            <w:r>
              <w:rPr>
                <w:rFonts w:hint="eastAsia"/>
                <w:b/>
                <w:color w:val="auto"/>
                <w:highlight w:val="none"/>
                <w:u w:val="single"/>
                <w:lang w:val="en-US" w:eastAsia="zh-CN"/>
              </w:rPr>
              <w:t>a</w:t>
            </w:r>
            <w:r>
              <w:rPr>
                <w:b/>
                <w:color w:val="auto"/>
                <w:highlight w:val="none"/>
              </w:rPr>
              <w:t xml:space="preserve"> </w:t>
            </w:r>
            <w:r>
              <w:rPr>
                <w:color w:val="auto"/>
                <w:highlight w:val="none"/>
                <w:u w:val="single"/>
              </w:rPr>
              <w:t>建筑设计不得采用含有石棉纤维、未经防腐和防虫蛀处理的植物纤维墙体材料。</w:t>
            </w:r>
          </w:p>
        </w:tc>
      </w:tr>
      <w:tr w14:paraId="5AD4E0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686" w:type="dxa"/>
            <w:shd w:val="clear" w:color="auto" w:fill="auto"/>
            <w:vAlign w:val="top"/>
          </w:tcPr>
          <w:p w14:paraId="2B3B06A6">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ascii="Times New Roman" w:hAnsi="Times New Roman" w:eastAsia="宋体" w:cs="Times New Roman"/>
                <w:bCs/>
                <w:kern w:val="2"/>
                <w:sz w:val="21"/>
                <w:szCs w:val="21"/>
                <w:lang w:val="en-US" w:eastAsia="zh-CN" w:bidi="ar-SA"/>
              </w:rPr>
            </w:pPr>
            <w:r>
              <w:rPr>
                <w:b/>
                <w:color w:val="auto"/>
                <w:highlight w:val="none"/>
              </w:rPr>
              <w:t xml:space="preserve">4.2.1  </w:t>
            </w:r>
            <w:r>
              <w:rPr>
                <w:color w:val="auto"/>
                <w:highlight w:val="none"/>
              </w:rPr>
              <w:t>墙体节能设计应符合当地节能建筑设计标准要求。</w:t>
            </w:r>
          </w:p>
        </w:tc>
        <w:tc>
          <w:tcPr>
            <w:tcW w:w="4716" w:type="dxa"/>
            <w:shd w:val="clear" w:color="auto" w:fill="auto"/>
            <w:vAlign w:val="top"/>
          </w:tcPr>
          <w:p w14:paraId="1E963C6B">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ascii="Times New Roman" w:hAnsi="Times New Roman" w:eastAsia="宋体" w:cs="Times New Roman"/>
                <w:bCs/>
                <w:kern w:val="2"/>
                <w:sz w:val="21"/>
                <w:szCs w:val="21"/>
                <w:lang w:val="en-US" w:eastAsia="zh-CN" w:bidi="ar-SA"/>
              </w:rPr>
            </w:pPr>
            <w:r>
              <w:rPr>
                <w:b/>
                <w:color w:val="auto"/>
                <w:highlight w:val="none"/>
              </w:rPr>
              <w:t xml:space="preserve">4.2.1  </w:t>
            </w:r>
            <w:r>
              <w:rPr>
                <w:color w:val="auto"/>
                <w:highlight w:val="none"/>
              </w:rPr>
              <w:t>墙体节能设计应符合</w:t>
            </w:r>
            <w:r>
              <w:rPr>
                <w:color w:val="auto"/>
                <w:highlight w:val="none"/>
                <w:bdr w:val="single" w:color="000000" w:sz="4" w:space="0"/>
              </w:rPr>
              <w:t>当地</w:t>
            </w:r>
            <w:r>
              <w:rPr>
                <w:rFonts w:hint="eastAsia"/>
                <w:color w:val="auto"/>
                <w:highlight w:val="none"/>
                <w:u w:val="single"/>
              </w:rPr>
              <w:t>国家现行</w:t>
            </w:r>
            <w:r>
              <w:rPr>
                <w:color w:val="auto"/>
                <w:highlight w:val="none"/>
              </w:rPr>
              <w:t>节能建筑设计标准要求</w:t>
            </w:r>
            <w:r>
              <w:rPr>
                <w:rFonts w:hint="eastAsia"/>
                <w:color w:val="auto"/>
                <w:highlight w:val="none"/>
                <w:u w:val="single"/>
                <w:lang w:eastAsia="zh-CN"/>
              </w:rPr>
              <w:t>，</w:t>
            </w:r>
            <w:r>
              <w:rPr>
                <w:rFonts w:hint="eastAsia"/>
                <w:color w:val="auto"/>
                <w:highlight w:val="none"/>
                <w:u w:val="single"/>
                <w:lang w:val="en-US" w:eastAsia="zh-CN"/>
              </w:rPr>
              <w:t>保温</w:t>
            </w:r>
            <w:r>
              <w:rPr>
                <w:rFonts w:hint="eastAsia"/>
                <w:lang w:val="en-US" w:eastAsia="zh-CN"/>
              </w:rPr>
              <w:t>复合</w:t>
            </w:r>
            <w:r>
              <w:rPr>
                <w:rFonts w:hint="eastAsia"/>
                <w:color w:val="auto"/>
                <w:highlight w:val="none"/>
                <w:u w:val="single"/>
                <w:lang w:val="en-US" w:eastAsia="zh-CN"/>
              </w:rPr>
              <w:t>墙体热工计算尚应符合现行国家标准《民用建筑热工设计规范》GB 50176的有关规定</w:t>
            </w:r>
            <w:r>
              <w:rPr>
                <w:color w:val="auto"/>
                <w:highlight w:val="none"/>
              </w:rPr>
              <w:t>。</w:t>
            </w:r>
          </w:p>
        </w:tc>
      </w:tr>
      <w:tr w14:paraId="71542D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686" w:type="dxa"/>
            <w:shd w:val="clear" w:color="auto" w:fill="auto"/>
            <w:vAlign w:val="center"/>
          </w:tcPr>
          <w:p w14:paraId="48DE17E6">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ascii="Times New Roman" w:hAnsi="Times New Roman" w:eastAsia="宋体" w:cs="Times New Roman"/>
                <w:bCs/>
                <w:kern w:val="2"/>
                <w:sz w:val="21"/>
                <w:szCs w:val="21"/>
                <w:lang w:val="en-US" w:eastAsia="zh-CN" w:bidi="ar-SA"/>
              </w:rPr>
            </w:pPr>
            <w:r>
              <w:rPr>
                <w:b/>
                <w:color w:val="auto"/>
                <w:highlight w:val="none"/>
              </w:rPr>
              <w:t xml:space="preserve">4.2.4  </w:t>
            </w:r>
            <w:r>
              <w:rPr>
                <w:color w:val="auto"/>
                <w:highlight w:val="none"/>
              </w:rPr>
              <w:t>建筑设计文件应注明外保温体系中保温材料的设计使用年限。</w:t>
            </w:r>
          </w:p>
        </w:tc>
        <w:tc>
          <w:tcPr>
            <w:tcW w:w="4716" w:type="dxa"/>
            <w:shd w:val="clear" w:color="auto" w:fill="auto"/>
            <w:vAlign w:val="center"/>
          </w:tcPr>
          <w:p w14:paraId="6C84FC84">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ascii="Times New Roman" w:hAnsi="Times New Roman" w:eastAsia="宋体" w:cs="Times New Roman"/>
                <w:bCs/>
                <w:kern w:val="2"/>
                <w:sz w:val="21"/>
                <w:szCs w:val="21"/>
                <w:lang w:val="en-US" w:eastAsia="zh-CN" w:bidi="ar-SA"/>
              </w:rPr>
            </w:pPr>
            <w:r>
              <w:rPr>
                <w:b/>
                <w:color w:val="auto"/>
                <w:highlight w:val="none"/>
              </w:rPr>
              <w:t xml:space="preserve">4.2.4  </w:t>
            </w:r>
            <w:r>
              <w:rPr>
                <w:color w:val="auto"/>
                <w:highlight w:val="none"/>
              </w:rPr>
              <w:t>建筑设计文件应注明外保温体系中保温材料的设计</w:t>
            </w:r>
            <w:r>
              <w:rPr>
                <w:color w:val="auto"/>
                <w:highlight w:val="none"/>
                <w:bdr w:val="single" w:color="000000" w:sz="4" w:space="0"/>
              </w:rPr>
              <w:t>使用</w:t>
            </w:r>
            <w:r>
              <w:rPr>
                <w:rFonts w:hint="eastAsia"/>
                <w:color w:val="auto"/>
                <w:highlight w:val="none"/>
                <w:u w:val="single"/>
                <w:lang w:val="en-US" w:eastAsia="zh-CN"/>
              </w:rPr>
              <w:t>工作</w:t>
            </w:r>
            <w:r>
              <w:rPr>
                <w:color w:val="auto"/>
                <w:highlight w:val="none"/>
              </w:rPr>
              <w:t>年限。</w:t>
            </w:r>
          </w:p>
        </w:tc>
      </w:tr>
      <w:tr w14:paraId="621E60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686" w:type="dxa"/>
            <w:shd w:val="clear" w:color="auto" w:fill="auto"/>
            <w:vAlign w:val="center"/>
          </w:tcPr>
          <w:p w14:paraId="2977C39B">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ascii="Times New Roman" w:hAnsi="Times New Roman" w:eastAsia="宋体" w:cs="Times New Roman"/>
                <w:bCs/>
                <w:kern w:val="2"/>
                <w:sz w:val="21"/>
                <w:szCs w:val="21"/>
                <w:lang w:val="en-US" w:eastAsia="zh-CN" w:bidi="ar-SA"/>
              </w:rPr>
            </w:pPr>
            <w:r>
              <w:rPr>
                <w:b/>
                <w:color w:val="auto"/>
                <w:highlight w:val="none"/>
              </w:rPr>
              <w:t xml:space="preserve">4.2.5  </w:t>
            </w:r>
            <w:r>
              <w:rPr>
                <w:color w:val="auto"/>
                <w:highlight w:val="none"/>
              </w:rPr>
              <w:t>保温复合墙体设计的技术文件应注明保温系统使用期间的维护及达到设计使用年限后的更换措施。</w:t>
            </w:r>
          </w:p>
        </w:tc>
        <w:tc>
          <w:tcPr>
            <w:tcW w:w="4716" w:type="dxa"/>
            <w:shd w:val="clear" w:color="auto" w:fill="auto"/>
            <w:vAlign w:val="center"/>
          </w:tcPr>
          <w:p w14:paraId="6A07E3CC">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ascii="Times New Roman" w:hAnsi="Times New Roman" w:eastAsia="宋体" w:cs="Times New Roman"/>
                <w:bCs/>
                <w:kern w:val="2"/>
                <w:sz w:val="21"/>
                <w:szCs w:val="21"/>
                <w:lang w:val="en-US" w:eastAsia="zh-CN" w:bidi="ar-SA"/>
              </w:rPr>
            </w:pPr>
            <w:r>
              <w:rPr>
                <w:b/>
                <w:color w:val="auto"/>
                <w:highlight w:val="none"/>
              </w:rPr>
              <w:t xml:space="preserve">4.2.5  </w:t>
            </w:r>
            <w:r>
              <w:rPr>
                <w:color w:val="auto"/>
                <w:highlight w:val="none"/>
              </w:rPr>
              <w:t>保温复合墙体设计的技术文件应注明保温系统使用期间的维护及达到设计</w:t>
            </w:r>
            <w:r>
              <w:rPr>
                <w:color w:val="auto"/>
                <w:highlight w:val="none"/>
                <w:bdr w:val="single" w:color="000000" w:sz="4" w:space="0"/>
              </w:rPr>
              <w:t>使用</w:t>
            </w:r>
            <w:r>
              <w:rPr>
                <w:rFonts w:hint="eastAsia"/>
                <w:color w:val="auto"/>
                <w:highlight w:val="none"/>
                <w:u w:val="single"/>
                <w:lang w:val="en-US" w:eastAsia="zh-CN"/>
              </w:rPr>
              <w:t>工作</w:t>
            </w:r>
            <w:r>
              <w:rPr>
                <w:color w:val="auto"/>
                <w:highlight w:val="none"/>
              </w:rPr>
              <w:t>年限后的更换措施。</w:t>
            </w:r>
          </w:p>
        </w:tc>
      </w:tr>
      <w:tr w14:paraId="26035C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686" w:type="dxa"/>
            <w:shd w:val="clear" w:color="auto" w:fill="auto"/>
            <w:vAlign w:val="center"/>
          </w:tcPr>
          <w:p w14:paraId="6B5433E4">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color w:val="auto"/>
                <w:highlight w:val="none"/>
              </w:rPr>
            </w:pPr>
            <w:r>
              <w:rPr>
                <w:b/>
                <w:color w:val="auto"/>
                <w:highlight w:val="none"/>
              </w:rPr>
              <w:t xml:space="preserve">4.2.6  </w:t>
            </w:r>
            <w:r>
              <w:rPr>
                <w:color w:val="auto"/>
                <w:highlight w:val="none"/>
              </w:rPr>
              <w:t xml:space="preserve">外保温复合墙体设计应符合下列规定： </w:t>
            </w:r>
          </w:p>
          <w:p w14:paraId="458A17B1">
            <w:pPr>
              <w:keepNext w:val="0"/>
              <w:keepLines w:val="0"/>
              <w:pageBreakBefore w:val="0"/>
              <w:widowControl w:val="0"/>
              <w:kinsoku/>
              <w:wordWrap/>
              <w:overflowPunct/>
              <w:topLinePunct w:val="0"/>
              <w:autoSpaceDE/>
              <w:autoSpaceDN/>
              <w:bidi w:val="0"/>
              <w:adjustRightInd/>
              <w:snapToGrid/>
              <w:spacing w:line="360" w:lineRule="auto"/>
              <w:ind w:firstLine="417" w:firstLineChars="198"/>
              <w:textAlignment w:val="auto"/>
              <w:outlineLvl w:val="9"/>
              <w:rPr>
                <w:color w:val="auto"/>
                <w:highlight w:val="none"/>
              </w:rPr>
            </w:pPr>
            <w:r>
              <w:rPr>
                <w:b/>
                <w:color w:val="auto"/>
                <w:highlight w:val="none"/>
              </w:rPr>
              <w:t xml:space="preserve">1  </w:t>
            </w:r>
            <w:r>
              <w:rPr>
                <w:color w:val="auto"/>
                <w:highlight w:val="none"/>
              </w:rPr>
              <w:t>饰面层应选用防水透气性材料或作透气性构造处理；</w:t>
            </w:r>
          </w:p>
          <w:p w14:paraId="121BA5D8">
            <w:pPr>
              <w:keepNext w:val="0"/>
              <w:keepLines w:val="0"/>
              <w:pageBreakBefore w:val="0"/>
              <w:widowControl w:val="0"/>
              <w:kinsoku/>
              <w:wordWrap/>
              <w:overflowPunct/>
              <w:topLinePunct w:val="0"/>
              <w:autoSpaceDE/>
              <w:autoSpaceDN/>
              <w:bidi w:val="0"/>
              <w:adjustRightInd/>
              <w:snapToGrid/>
              <w:spacing w:line="360" w:lineRule="auto"/>
              <w:ind w:firstLine="417" w:firstLineChars="198"/>
              <w:textAlignment w:val="auto"/>
              <w:outlineLvl w:val="9"/>
              <w:rPr>
                <w:color w:val="auto"/>
                <w:highlight w:val="none"/>
              </w:rPr>
            </w:pPr>
            <w:r>
              <w:rPr>
                <w:b/>
                <w:bCs/>
                <w:color w:val="auto"/>
                <w:highlight w:val="none"/>
              </w:rPr>
              <w:t>2</w:t>
            </w:r>
            <w:r>
              <w:rPr>
                <w:color w:val="auto"/>
                <w:highlight w:val="none"/>
              </w:rPr>
              <w:t xml:space="preserve">  浆体材料保温层设计厚度不得大于50mm；</w:t>
            </w:r>
          </w:p>
          <w:p w14:paraId="5426DA4A">
            <w:pPr>
              <w:keepNext w:val="0"/>
              <w:keepLines w:val="0"/>
              <w:pageBreakBefore w:val="0"/>
              <w:widowControl w:val="0"/>
              <w:kinsoku/>
              <w:wordWrap/>
              <w:overflowPunct/>
              <w:topLinePunct w:val="0"/>
              <w:autoSpaceDE/>
              <w:autoSpaceDN/>
              <w:bidi w:val="0"/>
              <w:adjustRightInd/>
              <w:snapToGrid/>
              <w:spacing w:line="360" w:lineRule="auto"/>
              <w:ind w:firstLine="417" w:firstLineChars="198"/>
              <w:textAlignment w:val="auto"/>
              <w:outlineLvl w:val="9"/>
              <w:rPr>
                <w:color w:val="auto"/>
                <w:highlight w:val="none"/>
              </w:rPr>
            </w:pPr>
            <w:r>
              <w:rPr>
                <w:b/>
                <w:bCs/>
                <w:color w:val="auto"/>
                <w:highlight w:val="none"/>
              </w:rPr>
              <w:t>3</w:t>
            </w:r>
            <w:r>
              <w:rPr>
                <w:color w:val="auto"/>
                <w:highlight w:val="none"/>
              </w:rPr>
              <w:t xml:space="preserve">  外保温系统应根据不同气候分区的要求进行耐候性试验；</w:t>
            </w:r>
          </w:p>
          <w:p w14:paraId="76E497A3">
            <w:pPr>
              <w:keepNext w:val="0"/>
              <w:keepLines w:val="0"/>
              <w:pageBreakBefore w:val="0"/>
              <w:widowControl w:val="0"/>
              <w:kinsoku/>
              <w:wordWrap/>
              <w:overflowPunct/>
              <w:topLinePunct w:val="0"/>
              <w:autoSpaceDE/>
              <w:autoSpaceDN/>
              <w:bidi w:val="0"/>
              <w:adjustRightInd/>
              <w:snapToGrid/>
              <w:spacing w:line="360" w:lineRule="auto"/>
              <w:ind w:firstLine="417" w:firstLineChars="198"/>
              <w:textAlignment w:val="auto"/>
              <w:outlineLvl w:val="9"/>
              <w:rPr>
                <w:rFonts w:ascii="Times New Roman" w:hAnsi="Times New Roman" w:eastAsia="宋体" w:cs="Times New Roman"/>
                <w:bCs/>
                <w:kern w:val="2"/>
                <w:sz w:val="21"/>
                <w:szCs w:val="21"/>
                <w:lang w:val="en-US" w:eastAsia="zh-CN" w:bidi="ar-SA"/>
              </w:rPr>
            </w:pPr>
            <w:r>
              <w:rPr>
                <w:b/>
                <w:bCs/>
                <w:color w:val="auto"/>
                <w:highlight w:val="none"/>
              </w:rPr>
              <w:t>4</w:t>
            </w:r>
            <w:r>
              <w:rPr>
                <w:color w:val="auto"/>
                <w:highlight w:val="none"/>
              </w:rPr>
              <w:t xml:space="preserve">  外墙体内表面温度不应低于室内空气露点温度。</w:t>
            </w:r>
          </w:p>
        </w:tc>
        <w:tc>
          <w:tcPr>
            <w:tcW w:w="4716" w:type="dxa"/>
            <w:shd w:val="clear" w:color="auto" w:fill="auto"/>
            <w:vAlign w:val="center"/>
          </w:tcPr>
          <w:p w14:paraId="0EC32761">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color w:val="auto"/>
                <w:highlight w:val="none"/>
              </w:rPr>
            </w:pPr>
            <w:r>
              <w:rPr>
                <w:b/>
                <w:color w:val="auto"/>
                <w:highlight w:val="none"/>
              </w:rPr>
              <w:t xml:space="preserve">4.2.6  </w:t>
            </w:r>
            <w:r>
              <w:rPr>
                <w:color w:val="auto"/>
                <w:highlight w:val="none"/>
              </w:rPr>
              <w:t xml:space="preserve">外保温复合墙体设计应符合下列规定： </w:t>
            </w:r>
          </w:p>
          <w:p w14:paraId="13CAA008">
            <w:pPr>
              <w:keepNext w:val="0"/>
              <w:keepLines w:val="0"/>
              <w:pageBreakBefore w:val="0"/>
              <w:widowControl w:val="0"/>
              <w:kinsoku/>
              <w:wordWrap/>
              <w:overflowPunct/>
              <w:topLinePunct w:val="0"/>
              <w:autoSpaceDE/>
              <w:autoSpaceDN/>
              <w:bidi w:val="0"/>
              <w:adjustRightInd/>
              <w:snapToGrid/>
              <w:spacing w:line="360" w:lineRule="auto"/>
              <w:ind w:firstLine="417" w:firstLineChars="198"/>
              <w:textAlignment w:val="auto"/>
              <w:outlineLvl w:val="9"/>
              <w:rPr>
                <w:color w:val="auto"/>
                <w:highlight w:val="none"/>
              </w:rPr>
            </w:pPr>
            <w:r>
              <w:rPr>
                <w:b/>
                <w:color w:val="auto"/>
                <w:highlight w:val="none"/>
              </w:rPr>
              <w:t xml:space="preserve">1  </w:t>
            </w:r>
            <w:r>
              <w:rPr>
                <w:color w:val="auto"/>
                <w:highlight w:val="none"/>
              </w:rPr>
              <w:t>饰面层应选用防水透气性材料或作透气性构造处理；</w:t>
            </w:r>
          </w:p>
          <w:p w14:paraId="46C3321F">
            <w:pPr>
              <w:keepNext w:val="0"/>
              <w:keepLines w:val="0"/>
              <w:pageBreakBefore w:val="0"/>
              <w:widowControl w:val="0"/>
              <w:kinsoku/>
              <w:wordWrap/>
              <w:overflowPunct/>
              <w:topLinePunct w:val="0"/>
              <w:autoSpaceDE/>
              <w:autoSpaceDN/>
              <w:bidi w:val="0"/>
              <w:adjustRightInd/>
              <w:snapToGrid/>
              <w:spacing w:line="360" w:lineRule="auto"/>
              <w:ind w:firstLine="417" w:firstLineChars="198"/>
              <w:textAlignment w:val="auto"/>
              <w:outlineLvl w:val="9"/>
              <w:rPr>
                <w:color w:val="auto"/>
                <w:highlight w:val="none"/>
              </w:rPr>
            </w:pPr>
            <w:r>
              <w:rPr>
                <w:b/>
                <w:bCs/>
                <w:color w:val="auto"/>
                <w:highlight w:val="none"/>
              </w:rPr>
              <w:t>2</w:t>
            </w:r>
            <w:r>
              <w:rPr>
                <w:color w:val="auto"/>
                <w:highlight w:val="none"/>
              </w:rPr>
              <w:t xml:space="preserve">  </w:t>
            </w:r>
            <w:r>
              <w:rPr>
                <w:color w:val="auto"/>
                <w:highlight w:val="none"/>
                <w:bdr w:val="single" w:color="000000" w:sz="4" w:space="0"/>
              </w:rPr>
              <w:t>浆体材料保温层</w:t>
            </w:r>
            <w:r>
              <w:rPr>
                <w:rFonts w:hint="eastAsia"/>
                <w:color w:val="auto"/>
                <w:highlight w:val="none"/>
                <w:u w:val="single"/>
              </w:rPr>
              <w:t>保温砂浆</w:t>
            </w:r>
            <w:r>
              <w:rPr>
                <w:color w:val="auto"/>
                <w:highlight w:val="none"/>
              </w:rPr>
              <w:t>设计厚度不得大于50mm；</w:t>
            </w:r>
          </w:p>
          <w:p w14:paraId="28FEE7F3">
            <w:pPr>
              <w:keepNext w:val="0"/>
              <w:keepLines w:val="0"/>
              <w:pageBreakBefore w:val="0"/>
              <w:widowControl w:val="0"/>
              <w:kinsoku/>
              <w:wordWrap/>
              <w:overflowPunct/>
              <w:topLinePunct w:val="0"/>
              <w:autoSpaceDE/>
              <w:autoSpaceDN/>
              <w:bidi w:val="0"/>
              <w:adjustRightInd/>
              <w:snapToGrid/>
              <w:spacing w:line="360" w:lineRule="auto"/>
              <w:ind w:firstLine="417" w:firstLineChars="198"/>
              <w:textAlignment w:val="auto"/>
              <w:outlineLvl w:val="9"/>
              <w:rPr>
                <w:color w:val="auto"/>
                <w:highlight w:val="none"/>
              </w:rPr>
            </w:pPr>
            <w:r>
              <w:rPr>
                <w:b/>
                <w:bCs/>
                <w:color w:val="auto"/>
                <w:highlight w:val="none"/>
              </w:rPr>
              <w:t>3</w:t>
            </w:r>
            <w:r>
              <w:rPr>
                <w:color w:val="auto"/>
                <w:highlight w:val="none"/>
              </w:rPr>
              <w:t xml:space="preserve">  外保温系统应根据不同气候分区的要求进行耐候性试验；</w:t>
            </w:r>
          </w:p>
          <w:p w14:paraId="12A83392">
            <w:pPr>
              <w:keepNext w:val="0"/>
              <w:keepLines w:val="0"/>
              <w:pageBreakBefore w:val="0"/>
              <w:widowControl w:val="0"/>
              <w:kinsoku/>
              <w:wordWrap/>
              <w:overflowPunct/>
              <w:topLinePunct w:val="0"/>
              <w:autoSpaceDE/>
              <w:autoSpaceDN/>
              <w:bidi w:val="0"/>
              <w:adjustRightInd/>
              <w:snapToGrid/>
              <w:spacing w:line="360" w:lineRule="auto"/>
              <w:ind w:firstLine="417" w:firstLineChars="198"/>
              <w:textAlignment w:val="auto"/>
              <w:outlineLvl w:val="9"/>
              <w:rPr>
                <w:rFonts w:ascii="Times New Roman" w:hAnsi="Times New Roman" w:eastAsia="宋体" w:cs="Times New Roman"/>
                <w:bCs/>
                <w:kern w:val="2"/>
                <w:sz w:val="21"/>
                <w:szCs w:val="21"/>
                <w:lang w:val="en-US" w:eastAsia="zh-CN" w:bidi="ar-SA"/>
              </w:rPr>
            </w:pPr>
            <w:r>
              <w:rPr>
                <w:b/>
                <w:bCs/>
                <w:color w:val="auto"/>
                <w:highlight w:val="none"/>
              </w:rPr>
              <w:t>4</w:t>
            </w:r>
            <w:r>
              <w:rPr>
                <w:color w:val="auto"/>
                <w:highlight w:val="none"/>
              </w:rPr>
              <w:t xml:space="preserve">  外墙体内表面温度不应低于室内空气露点温度。</w:t>
            </w:r>
          </w:p>
        </w:tc>
      </w:tr>
      <w:tr w14:paraId="1329DF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686" w:type="dxa"/>
            <w:shd w:val="clear" w:color="auto" w:fill="auto"/>
            <w:vAlign w:val="center"/>
          </w:tcPr>
          <w:p w14:paraId="308B3182">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color w:val="auto"/>
                <w:highlight w:val="none"/>
              </w:rPr>
            </w:pPr>
            <w:r>
              <w:rPr>
                <w:b/>
                <w:color w:val="auto"/>
                <w:highlight w:val="none"/>
              </w:rPr>
              <w:t xml:space="preserve">4.2.7  </w:t>
            </w:r>
            <w:r>
              <w:rPr>
                <w:color w:val="auto"/>
                <w:highlight w:val="none"/>
              </w:rPr>
              <w:t xml:space="preserve">内保温复合墙体设计应符合下列规定：  </w:t>
            </w:r>
          </w:p>
          <w:p w14:paraId="256BCA4A">
            <w:pPr>
              <w:keepNext w:val="0"/>
              <w:keepLines w:val="0"/>
              <w:pageBreakBefore w:val="0"/>
              <w:widowControl w:val="0"/>
              <w:kinsoku/>
              <w:wordWrap/>
              <w:overflowPunct/>
              <w:topLinePunct w:val="0"/>
              <w:autoSpaceDE/>
              <w:autoSpaceDN/>
              <w:bidi w:val="0"/>
              <w:adjustRightInd/>
              <w:snapToGrid/>
              <w:spacing w:line="360" w:lineRule="auto"/>
              <w:ind w:firstLine="417" w:firstLineChars="198"/>
              <w:textAlignment w:val="auto"/>
              <w:outlineLvl w:val="9"/>
              <w:rPr>
                <w:color w:val="auto"/>
                <w:highlight w:val="none"/>
              </w:rPr>
            </w:pPr>
            <w:r>
              <w:rPr>
                <w:b/>
                <w:color w:val="auto"/>
                <w:highlight w:val="none"/>
              </w:rPr>
              <w:t>1</w:t>
            </w:r>
            <w:r>
              <w:rPr>
                <w:color w:val="auto"/>
                <w:highlight w:val="none"/>
              </w:rPr>
              <w:t xml:space="preserve">  保温材料应选用非污染、不燃、难燃且燃后不产生有害气体的材料；</w:t>
            </w:r>
          </w:p>
          <w:p w14:paraId="7F40A312">
            <w:pPr>
              <w:keepNext w:val="0"/>
              <w:keepLines w:val="0"/>
              <w:pageBreakBefore w:val="0"/>
              <w:widowControl w:val="0"/>
              <w:kinsoku/>
              <w:wordWrap/>
              <w:overflowPunct/>
              <w:topLinePunct w:val="0"/>
              <w:autoSpaceDE/>
              <w:autoSpaceDN/>
              <w:bidi w:val="0"/>
              <w:adjustRightInd/>
              <w:snapToGrid/>
              <w:spacing w:line="360" w:lineRule="auto"/>
              <w:ind w:firstLine="417" w:firstLineChars="198"/>
              <w:textAlignment w:val="auto"/>
              <w:outlineLvl w:val="9"/>
              <w:rPr>
                <w:b/>
                <w:color w:val="auto"/>
                <w:highlight w:val="none"/>
              </w:rPr>
            </w:pPr>
            <w:r>
              <w:rPr>
                <w:b/>
                <w:color w:val="auto"/>
                <w:highlight w:val="none"/>
              </w:rPr>
              <w:t xml:space="preserve">2  </w:t>
            </w:r>
            <w:r>
              <w:rPr>
                <w:color w:val="auto"/>
                <w:highlight w:val="none"/>
              </w:rPr>
              <w:t>外部墙体应选用蒸汽渗透阻较小的材料或设有排湿构造，外饰面涂料应具有防水透气性；</w:t>
            </w:r>
          </w:p>
          <w:p w14:paraId="46785CCE">
            <w:pPr>
              <w:keepNext w:val="0"/>
              <w:keepLines w:val="0"/>
              <w:pageBreakBefore w:val="0"/>
              <w:widowControl w:val="0"/>
              <w:kinsoku/>
              <w:wordWrap/>
              <w:overflowPunct/>
              <w:topLinePunct w:val="0"/>
              <w:autoSpaceDE/>
              <w:autoSpaceDN/>
              <w:bidi w:val="0"/>
              <w:adjustRightInd/>
              <w:snapToGrid/>
              <w:spacing w:line="360" w:lineRule="auto"/>
              <w:ind w:firstLine="417" w:firstLineChars="198"/>
              <w:textAlignment w:val="auto"/>
              <w:outlineLvl w:val="9"/>
              <w:rPr>
                <w:color w:val="auto"/>
                <w:highlight w:val="none"/>
              </w:rPr>
            </w:pPr>
            <w:r>
              <w:rPr>
                <w:b/>
                <w:color w:val="auto"/>
                <w:highlight w:val="none"/>
              </w:rPr>
              <w:t xml:space="preserve">3  </w:t>
            </w:r>
            <w:r>
              <w:rPr>
                <w:color w:val="auto"/>
                <w:highlight w:val="none"/>
              </w:rPr>
              <w:t>保温材料应做防护面层，当需在墙上悬挂重物时，其挂件的预埋件</w:t>
            </w:r>
            <w:r>
              <w:rPr>
                <w:rFonts w:hint="eastAsia"/>
                <w:color w:val="auto"/>
                <w:highlight w:val="none"/>
                <w:lang w:val="en-US" w:eastAsia="zh-CN"/>
              </w:rPr>
              <w:t>应</w:t>
            </w:r>
            <w:r>
              <w:rPr>
                <w:color w:val="auto"/>
                <w:highlight w:val="none"/>
              </w:rPr>
              <w:t>固定于基层墙体内；</w:t>
            </w:r>
          </w:p>
          <w:p w14:paraId="39DA3E15">
            <w:pPr>
              <w:keepNext w:val="0"/>
              <w:keepLines w:val="0"/>
              <w:pageBreakBefore w:val="0"/>
              <w:widowControl w:val="0"/>
              <w:kinsoku/>
              <w:wordWrap/>
              <w:overflowPunct/>
              <w:topLinePunct w:val="0"/>
              <w:autoSpaceDE/>
              <w:autoSpaceDN/>
              <w:bidi w:val="0"/>
              <w:adjustRightInd/>
              <w:snapToGrid/>
              <w:spacing w:line="360" w:lineRule="auto"/>
              <w:ind w:firstLine="417" w:firstLineChars="198"/>
              <w:textAlignment w:val="auto"/>
              <w:outlineLvl w:val="9"/>
              <w:rPr>
                <w:rFonts w:ascii="Times New Roman" w:hAnsi="Times New Roman" w:eastAsia="宋体" w:cs="Times New Roman"/>
                <w:b/>
                <w:bCs/>
                <w:color w:val="auto"/>
                <w:kern w:val="2"/>
                <w:sz w:val="21"/>
                <w:szCs w:val="21"/>
                <w:highlight w:val="none"/>
                <w:lang w:val="en-US" w:eastAsia="zh-CN" w:bidi="ar-SA"/>
              </w:rPr>
            </w:pPr>
            <w:r>
              <w:rPr>
                <w:b/>
                <w:color w:val="auto"/>
                <w:highlight w:val="none"/>
              </w:rPr>
              <w:t xml:space="preserve">4  </w:t>
            </w:r>
            <w:r>
              <w:rPr>
                <w:color w:val="auto"/>
                <w:highlight w:val="none"/>
              </w:rPr>
              <w:t>不满足梁、柱等热桥部位内表面温度验算时，应对内表面温度低于室内空气露点温度的热桥部位采取保温措施。</w:t>
            </w:r>
          </w:p>
        </w:tc>
        <w:tc>
          <w:tcPr>
            <w:tcW w:w="4716" w:type="dxa"/>
            <w:shd w:val="clear" w:color="auto" w:fill="auto"/>
            <w:vAlign w:val="center"/>
          </w:tcPr>
          <w:p w14:paraId="7A617265">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color w:val="auto"/>
                <w:highlight w:val="none"/>
              </w:rPr>
            </w:pPr>
            <w:bookmarkStart w:id="15" w:name="_Toc550"/>
            <w:r>
              <w:rPr>
                <w:b/>
                <w:color w:val="auto"/>
                <w:highlight w:val="none"/>
              </w:rPr>
              <w:t xml:space="preserve">4.2.7  </w:t>
            </w:r>
            <w:r>
              <w:rPr>
                <w:color w:val="auto"/>
                <w:highlight w:val="none"/>
              </w:rPr>
              <w:t>内保温复合墙体设计应符合下列规定：</w:t>
            </w:r>
            <w:bookmarkEnd w:id="15"/>
            <w:r>
              <w:rPr>
                <w:color w:val="auto"/>
                <w:highlight w:val="none"/>
              </w:rPr>
              <w:t xml:space="preserve">  </w:t>
            </w:r>
          </w:p>
          <w:p w14:paraId="267B6C80">
            <w:pPr>
              <w:keepNext w:val="0"/>
              <w:keepLines w:val="0"/>
              <w:pageBreakBefore w:val="0"/>
              <w:widowControl w:val="0"/>
              <w:kinsoku/>
              <w:wordWrap/>
              <w:overflowPunct/>
              <w:topLinePunct w:val="0"/>
              <w:autoSpaceDE/>
              <w:autoSpaceDN/>
              <w:bidi w:val="0"/>
              <w:adjustRightInd/>
              <w:snapToGrid/>
              <w:spacing w:line="360" w:lineRule="auto"/>
              <w:ind w:firstLine="417" w:firstLineChars="198"/>
              <w:textAlignment w:val="auto"/>
              <w:outlineLvl w:val="9"/>
              <w:rPr>
                <w:color w:val="auto"/>
                <w:highlight w:val="none"/>
              </w:rPr>
            </w:pPr>
            <w:r>
              <w:rPr>
                <w:b/>
                <w:color w:val="auto"/>
                <w:highlight w:val="none"/>
              </w:rPr>
              <w:t>1</w:t>
            </w:r>
            <w:r>
              <w:rPr>
                <w:color w:val="auto"/>
                <w:highlight w:val="none"/>
              </w:rPr>
              <w:t xml:space="preserve">  保温</w:t>
            </w:r>
            <w:r>
              <w:rPr>
                <w:rFonts w:hint="eastAsia"/>
                <w:color w:val="auto"/>
                <w:highlight w:val="none"/>
                <w:u w:val="single"/>
                <w:lang w:val="en-US" w:eastAsia="zh-CN"/>
              </w:rPr>
              <w:t>系统</w:t>
            </w:r>
            <w:r>
              <w:rPr>
                <w:color w:val="auto"/>
                <w:highlight w:val="none"/>
                <w:bdr w:val="single" w:color="000000" w:sz="4" w:space="0"/>
              </w:rPr>
              <w:t>材料应选用非污染、不燃、难燃且燃后不产生有害气体的</w:t>
            </w:r>
            <w:r>
              <w:rPr>
                <w:rFonts w:hint="eastAsia"/>
                <w:color w:val="auto"/>
                <w:highlight w:val="none"/>
                <w:u w:val="single"/>
                <w:lang w:val="en-US" w:eastAsia="zh-CN"/>
              </w:rPr>
              <w:t>宜采用不低于B1级保温</w:t>
            </w:r>
            <w:r>
              <w:rPr>
                <w:color w:val="auto"/>
                <w:highlight w:val="none"/>
              </w:rPr>
              <w:t>材料；</w:t>
            </w:r>
          </w:p>
          <w:p w14:paraId="0326E97A">
            <w:pPr>
              <w:keepNext w:val="0"/>
              <w:keepLines w:val="0"/>
              <w:pageBreakBefore w:val="0"/>
              <w:widowControl w:val="0"/>
              <w:kinsoku/>
              <w:wordWrap/>
              <w:overflowPunct/>
              <w:topLinePunct w:val="0"/>
              <w:autoSpaceDE/>
              <w:autoSpaceDN/>
              <w:bidi w:val="0"/>
              <w:adjustRightInd/>
              <w:snapToGrid/>
              <w:spacing w:line="360" w:lineRule="auto"/>
              <w:ind w:firstLine="417" w:firstLineChars="198"/>
              <w:textAlignment w:val="auto"/>
              <w:outlineLvl w:val="9"/>
              <w:rPr>
                <w:b/>
                <w:color w:val="auto"/>
                <w:highlight w:val="none"/>
              </w:rPr>
            </w:pPr>
            <w:r>
              <w:rPr>
                <w:b/>
                <w:color w:val="auto"/>
                <w:highlight w:val="none"/>
              </w:rPr>
              <w:t xml:space="preserve">2  </w:t>
            </w:r>
            <w:r>
              <w:rPr>
                <w:color w:val="auto"/>
                <w:highlight w:val="none"/>
              </w:rPr>
              <w:t>外部墙体应选用蒸汽渗透阻较小的材料或设有排湿构造，外饰面涂料应具有防水透气性；</w:t>
            </w:r>
          </w:p>
          <w:p w14:paraId="2883A38F">
            <w:pPr>
              <w:keepNext w:val="0"/>
              <w:keepLines w:val="0"/>
              <w:pageBreakBefore w:val="0"/>
              <w:widowControl w:val="0"/>
              <w:kinsoku/>
              <w:wordWrap/>
              <w:overflowPunct/>
              <w:topLinePunct w:val="0"/>
              <w:autoSpaceDE/>
              <w:autoSpaceDN/>
              <w:bidi w:val="0"/>
              <w:adjustRightInd/>
              <w:snapToGrid/>
              <w:spacing w:line="360" w:lineRule="auto"/>
              <w:ind w:firstLine="417" w:firstLineChars="198"/>
              <w:textAlignment w:val="auto"/>
              <w:outlineLvl w:val="9"/>
              <w:rPr>
                <w:color w:val="auto"/>
                <w:highlight w:val="none"/>
              </w:rPr>
            </w:pPr>
            <w:r>
              <w:rPr>
                <w:b/>
                <w:color w:val="auto"/>
                <w:highlight w:val="none"/>
              </w:rPr>
              <w:t xml:space="preserve">3  </w:t>
            </w:r>
            <w:r>
              <w:rPr>
                <w:color w:val="auto"/>
                <w:highlight w:val="none"/>
              </w:rPr>
              <w:t>保温材料应做防护面层，当需在墙上悬挂重物时，其挂件的预埋件</w:t>
            </w:r>
            <w:r>
              <w:rPr>
                <w:rFonts w:hint="eastAsia"/>
                <w:color w:val="auto"/>
                <w:highlight w:val="none"/>
                <w:lang w:val="en-US" w:eastAsia="zh-CN"/>
              </w:rPr>
              <w:t>应</w:t>
            </w:r>
            <w:r>
              <w:rPr>
                <w:color w:val="auto"/>
                <w:highlight w:val="none"/>
              </w:rPr>
              <w:t>固定于基层墙体内；</w:t>
            </w:r>
          </w:p>
          <w:p w14:paraId="219FECF1">
            <w:pPr>
              <w:keepNext w:val="0"/>
              <w:keepLines w:val="0"/>
              <w:pageBreakBefore w:val="0"/>
              <w:widowControl w:val="0"/>
              <w:kinsoku/>
              <w:wordWrap/>
              <w:overflowPunct/>
              <w:topLinePunct w:val="0"/>
              <w:autoSpaceDE/>
              <w:autoSpaceDN/>
              <w:bidi w:val="0"/>
              <w:adjustRightInd/>
              <w:snapToGrid/>
              <w:spacing w:line="360" w:lineRule="auto"/>
              <w:ind w:firstLine="417" w:firstLineChars="198"/>
              <w:textAlignment w:val="auto"/>
              <w:outlineLvl w:val="9"/>
              <w:rPr>
                <w:b/>
                <w:bCs/>
                <w:color w:val="auto"/>
                <w:highlight w:val="none"/>
              </w:rPr>
            </w:pPr>
            <w:r>
              <w:rPr>
                <w:b/>
                <w:color w:val="auto"/>
                <w:highlight w:val="none"/>
              </w:rPr>
              <w:t xml:space="preserve">4  </w:t>
            </w:r>
            <w:r>
              <w:rPr>
                <w:color w:val="auto"/>
                <w:highlight w:val="none"/>
              </w:rPr>
              <w:t>不满足梁、柱等热桥部位内表面温度验算时，应对内表面温度低于室内空气露点温度的热桥部位采取保温措施。</w:t>
            </w:r>
          </w:p>
        </w:tc>
      </w:tr>
    </w:tbl>
    <w:p w14:paraId="0A24BA78"/>
    <w:p w14:paraId="1218B640">
      <w:r>
        <w:br w:type="page"/>
      </w:r>
    </w:p>
    <w:tbl>
      <w:tblPr>
        <w:tblStyle w:val="7"/>
        <w:tblW w:w="940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686"/>
        <w:gridCol w:w="4716"/>
      </w:tblGrid>
      <w:tr w14:paraId="0350E1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Header/>
        </w:trPr>
        <w:tc>
          <w:tcPr>
            <w:tcW w:w="4686" w:type="dxa"/>
            <w:vAlign w:val="top"/>
          </w:tcPr>
          <w:p w14:paraId="0EE737F3">
            <w:pPr>
              <w:spacing w:before="120" w:beforeLines="50" w:after="120" w:afterLines="50"/>
              <w:jc w:val="center"/>
              <w:rPr>
                <w:rFonts w:ascii="Times New Roman" w:hAnsi="Times New Roman"/>
                <w:b/>
                <w:bCs/>
                <w:szCs w:val="21"/>
              </w:rPr>
            </w:pPr>
            <w:r>
              <w:rPr>
                <w:rFonts w:ascii="Times New Roman" w:hAnsi="Times New Roman"/>
                <w:b/>
                <w:bCs/>
                <w:szCs w:val="21"/>
              </w:rPr>
              <w:t>现行《标准》条文</w:t>
            </w:r>
          </w:p>
        </w:tc>
        <w:tc>
          <w:tcPr>
            <w:tcW w:w="4716" w:type="dxa"/>
          </w:tcPr>
          <w:p w14:paraId="3143E5C6">
            <w:pPr>
              <w:spacing w:before="120" w:beforeLines="50" w:after="120" w:afterLines="50"/>
              <w:jc w:val="center"/>
              <w:rPr>
                <w:rFonts w:ascii="Times New Roman" w:hAnsi="Times New Roman"/>
                <w:b/>
                <w:bCs/>
                <w:szCs w:val="21"/>
              </w:rPr>
            </w:pPr>
            <w:r>
              <w:rPr>
                <w:rFonts w:ascii="Times New Roman" w:hAnsi="Times New Roman"/>
                <w:b/>
                <w:bCs/>
                <w:szCs w:val="21"/>
              </w:rPr>
              <w:t>局部修订征求意见稿</w:t>
            </w:r>
          </w:p>
        </w:tc>
      </w:tr>
      <w:tr w14:paraId="5865E7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686" w:type="dxa"/>
            <w:shd w:val="clear" w:color="auto" w:fill="auto"/>
            <w:vAlign w:val="top"/>
          </w:tcPr>
          <w:p w14:paraId="063B4E82">
            <w:pPr>
              <w:spacing w:before="120" w:beforeLines="50" w:after="120" w:afterLines="50"/>
              <w:jc w:val="center"/>
              <w:rPr>
                <w:rFonts w:hint="default" w:ascii="Times New Roman" w:hAnsi="Times New Roman" w:eastAsia="宋体" w:cs="Times New Roman"/>
                <w:b/>
                <w:bCs/>
                <w:kern w:val="2"/>
                <w:sz w:val="21"/>
                <w:szCs w:val="21"/>
                <w:lang w:val="en-US" w:eastAsia="zh-CN" w:bidi="ar-SA"/>
              </w:rPr>
            </w:pPr>
            <w:r>
              <w:rPr>
                <w:rFonts w:hint="eastAsia"/>
                <w:b/>
                <w:bCs/>
                <w:szCs w:val="21"/>
                <w:lang w:val="en-US" w:eastAsia="zh-CN"/>
              </w:rPr>
              <w:t>5 结构设计</w:t>
            </w:r>
          </w:p>
        </w:tc>
        <w:tc>
          <w:tcPr>
            <w:tcW w:w="4716" w:type="dxa"/>
            <w:shd w:val="clear" w:color="auto" w:fill="auto"/>
            <w:vAlign w:val="top"/>
          </w:tcPr>
          <w:p w14:paraId="0835080C">
            <w:pPr>
              <w:spacing w:before="120" w:beforeLines="50" w:after="120" w:afterLines="50"/>
              <w:jc w:val="center"/>
              <w:rPr>
                <w:rFonts w:hint="default" w:ascii="Times New Roman" w:hAnsi="Times New Roman" w:eastAsia="宋体" w:cs="Times New Roman"/>
                <w:b/>
                <w:bCs/>
                <w:kern w:val="2"/>
                <w:sz w:val="21"/>
                <w:szCs w:val="21"/>
                <w:lang w:val="en-US" w:eastAsia="zh-CN" w:bidi="ar-SA"/>
              </w:rPr>
            </w:pPr>
            <w:r>
              <w:rPr>
                <w:rFonts w:hint="eastAsia"/>
                <w:b/>
                <w:bCs/>
                <w:szCs w:val="21"/>
                <w:lang w:val="en-US" w:eastAsia="zh-CN"/>
              </w:rPr>
              <w:t>5 结构设计</w:t>
            </w:r>
          </w:p>
        </w:tc>
      </w:tr>
      <w:tr w14:paraId="1EC6B0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686" w:type="dxa"/>
            <w:shd w:val="clear" w:color="auto" w:fill="auto"/>
            <w:vAlign w:val="center"/>
          </w:tcPr>
          <w:p w14:paraId="5E3226CC">
            <w:pPr>
              <w:pageBreakBefore w:val="0"/>
              <w:widowControl/>
              <w:kinsoku/>
              <w:wordWrap/>
              <w:overflowPunct/>
              <w:topLinePunct w:val="0"/>
              <w:bidi w:val="0"/>
              <w:snapToGrid w:val="0"/>
              <w:spacing w:line="360" w:lineRule="auto"/>
              <w:ind w:left="1" w:leftChars="0"/>
              <w:jc w:val="left"/>
              <w:textAlignment w:val="auto"/>
              <w:outlineLvl w:val="9"/>
              <w:rPr>
                <w:b/>
                <w:color w:val="auto"/>
                <w:highlight w:val="none"/>
              </w:rPr>
            </w:pPr>
            <w:r>
              <w:rPr>
                <w:b/>
                <w:bCs/>
                <w:color w:val="auto"/>
                <w:highlight w:val="none"/>
              </w:rPr>
              <w:t xml:space="preserve">5.1.2  </w:t>
            </w:r>
            <w:r>
              <w:rPr>
                <w:bCs/>
                <w:color w:val="auto"/>
                <w:highlight w:val="none"/>
              </w:rPr>
              <w:t>结构的安全等级应按</w:t>
            </w:r>
            <w:r>
              <w:rPr>
                <w:rFonts w:hint="eastAsia"/>
                <w:bCs/>
                <w:color w:val="auto"/>
                <w:highlight w:val="none"/>
              </w:rPr>
              <w:t>现行国家标准</w:t>
            </w:r>
            <w:r>
              <w:rPr>
                <w:bCs/>
                <w:color w:val="auto"/>
                <w:highlight w:val="none"/>
              </w:rPr>
              <w:t>《建筑结构可靠</w:t>
            </w:r>
            <w:r>
              <w:rPr>
                <w:color w:val="auto"/>
                <w:highlight w:val="none"/>
              </w:rPr>
              <w:t>度</w:t>
            </w:r>
            <w:r>
              <w:rPr>
                <w:bCs/>
                <w:color w:val="auto"/>
                <w:highlight w:val="none"/>
              </w:rPr>
              <w:t>设计统一标准》GB 50068</w:t>
            </w:r>
            <w:r>
              <w:rPr>
                <w:rFonts w:hint="eastAsia"/>
                <w:bCs/>
                <w:color w:val="auto"/>
                <w:highlight w:val="none"/>
              </w:rPr>
              <w:t>的有关规定</w:t>
            </w:r>
            <w:r>
              <w:rPr>
                <w:bCs/>
                <w:color w:val="auto"/>
                <w:highlight w:val="none"/>
              </w:rPr>
              <w:t>划分。</w:t>
            </w:r>
          </w:p>
        </w:tc>
        <w:tc>
          <w:tcPr>
            <w:tcW w:w="4716" w:type="dxa"/>
            <w:shd w:val="clear" w:color="auto" w:fill="auto"/>
            <w:vAlign w:val="center"/>
          </w:tcPr>
          <w:p w14:paraId="5742A38E">
            <w:pPr>
              <w:pageBreakBefore w:val="0"/>
              <w:widowControl/>
              <w:kinsoku/>
              <w:wordWrap/>
              <w:overflowPunct/>
              <w:topLinePunct w:val="0"/>
              <w:bidi w:val="0"/>
              <w:snapToGrid w:val="0"/>
              <w:spacing w:line="360" w:lineRule="auto"/>
              <w:ind w:left="1"/>
              <w:jc w:val="left"/>
              <w:textAlignment w:val="auto"/>
              <w:outlineLvl w:val="9"/>
              <w:rPr>
                <w:b/>
                <w:color w:val="auto"/>
                <w:highlight w:val="none"/>
              </w:rPr>
            </w:pPr>
            <w:r>
              <w:rPr>
                <w:b/>
                <w:bCs/>
                <w:color w:val="auto"/>
                <w:highlight w:val="none"/>
              </w:rPr>
              <w:t xml:space="preserve">5.1.2  </w:t>
            </w:r>
            <w:r>
              <w:rPr>
                <w:bCs/>
                <w:color w:val="auto"/>
                <w:highlight w:val="none"/>
              </w:rPr>
              <w:t>结构的安全等级应按</w:t>
            </w:r>
            <w:r>
              <w:rPr>
                <w:rFonts w:hint="eastAsia"/>
                <w:bCs/>
                <w:color w:val="auto"/>
                <w:highlight w:val="none"/>
              </w:rPr>
              <w:t>现行国家标准</w:t>
            </w:r>
            <w:r>
              <w:rPr>
                <w:rFonts w:hint="eastAsia"/>
                <w:bCs/>
                <w:color w:val="auto"/>
                <w:highlight w:val="none"/>
                <w:u w:val="single"/>
              </w:rPr>
              <w:t>《工程结构通用规范》GB 55001</w:t>
            </w:r>
            <w:r>
              <w:rPr>
                <w:color w:val="auto"/>
                <w:highlight w:val="none"/>
                <w:u w:val="single"/>
              </w:rPr>
              <w:t>、</w:t>
            </w:r>
            <w:r>
              <w:rPr>
                <w:bCs/>
                <w:color w:val="auto"/>
                <w:highlight w:val="none"/>
              </w:rPr>
              <w:t>《建筑结构可靠</w:t>
            </w:r>
            <w:r>
              <w:rPr>
                <w:color w:val="auto"/>
                <w:highlight w:val="none"/>
                <w:bdr w:val="single" w:color="000000" w:sz="4" w:space="0"/>
              </w:rPr>
              <w:t>度</w:t>
            </w:r>
            <w:r>
              <w:rPr>
                <w:rFonts w:hint="eastAsia"/>
                <w:color w:val="auto"/>
                <w:highlight w:val="none"/>
                <w:u w:val="single"/>
                <w:lang w:val="en-US" w:eastAsia="zh-CN"/>
              </w:rPr>
              <w:t>性</w:t>
            </w:r>
            <w:r>
              <w:rPr>
                <w:bCs/>
                <w:color w:val="auto"/>
                <w:highlight w:val="none"/>
              </w:rPr>
              <w:t>设计统一标准》GB 50068</w:t>
            </w:r>
            <w:r>
              <w:rPr>
                <w:rFonts w:hint="eastAsia"/>
                <w:bCs/>
                <w:color w:val="auto"/>
                <w:highlight w:val="none"/>
              </w:rPr>
              <w:t>的有关规定</w:t>
            </w:r>
            <w:r>
              <w:rPr>
                <w:bCs/>
                <w:color w:val="auto"/>
                <w:highlight w:val="none"/>
              </w:rPr>
              <w:t>划分。</w:t>
            </w:r>
          </w:p>
        </w:tc>
      </w:tr>
      <w:tr w14:paraId="2955C5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686" w:type="dxa"/>
            <w:shd w:val="clear" w:color="auto" w:fill="auto"/>
            <w:vAlign w:val="center"/>
          </w:tcPr>
          <w:p w14:paraId="16FC6609">
            <w:pPr>
              <w:keepNext w:val="0"/>
              <w:keepLines w:val="0"/>
              <w:pageBreakBefore w:val="0"/>
              <w:kinsoku/>
              <w:wordWrap/>
              <w:overflowPunct/>
              <w:topLinePunct w:val="0"/>
              <w:autoSpaceDE/>
              <w:autoSpaceDN/>
              <w:bidi w:val="0"/>
              <w:adjustRightInd/>
              <w:spacing w:line="360" w:lineRule="auto"/>
              <w:textAlignment w:val="auto"/>
              <w:rPr>
                <w:b/>
                <w:bCs/>
                <w:color w:val="auto"/>
                <w:highlight w:val="none"/>
              </w:rPr>
            </w:pPr>
            <w:r>
              <w:rPr>
                <w:b/>
                <w:color w:val="auto"/>
                <w:highlight w:val="none"/>
              </w:rPr>
              <w:t xml:space="preserve">5.1.5  </w:t>
            </w:r>
            <w:r>
              <w:rPr>
                <w:color w:val="auto"/>
                <w:highlight w:val="none"/>
              </w:rPr>
              <w:t>砌体结构设计</w:t>
            </w:r>
            <w:r>
              <w:rPr>
                <w:rFonts w:ascii="Times New Roman" w:hAnsi="Times New Roman" w:eastAsia="宋体" w:cs="Times New Roman"/>
                <w:color w:val="auto"/>
                <w:highlight w:val="none"/>
              </w:rPr>
              <w:t>使用年限</w:t>
            </w:r>
            <w:r>
              <w:rPr>
                <w:rFonts w:hint="default" w:ascii="Times New Roman" w:hAnsi="Times New Roman" w:eastAsia="宋体" w:cs="Times New Roman"/>
                <w:color w:val="auto"/>
                <w:highlight w:val="none"/>
                <w:lang w:val="en-US" w:eastAsia="zh-CN"/>
              </w:rPr>
              <w:t>应</w:t>
            </w:r>
            <w:r>
              <w:rPr>
                <w:rFonts w:ascii="Times New Roman" w:hAnsi="Times New Roman" w:eastAsia="宋体" w:cs="Times New Roman"/>
                <w:color w:val="auto"/>
                <w:highlight w:val="none"/>
              </w:rPr>
              <w:t>按现行</w:t>
            </w:r>
            <w:r>
              <w:rPr>
                <w:color w:val="auto"/>
                <w:highlight w:val="none"/>
              </w:rPr>
              <w:t>国家标准《建筑结构可靠度设计统一标准》</w:t>
            </w:r>
            <w:r>
              <w:rPr>
                <w:bCs/>
                <w:color w:val="auto"/>
                <w:highlight w:val="none"/>
              </w:rPr>
              <w:t>GB 50068的有关规定</w:t>
            </w:r>
            <w:r>
              <w:rPr>
                <w:color w:val="auto"/>
                <w:highlight w:val="none"/>
              </w:rPr>
              <w:t>确定。</w:t>
            </w:r>
          </w:p>
        </w:tc>
        <w:tc>
          <w:tcPr>
            <w:tcW w:w="4716" w:type="dxa"/>
            <w:shd w:val="clear" w:color="auto" w:fill="auto"/>
            <w:vAlign w:val="center"/>
          </w:tcPr>
          <w:p w14:paraId="579AEC4B">
            <w:pPr>
              <w:keepNext w:val="0"/>
              <w:keepLines w:val="0"/>
              <w:pageBreakBefore w:val="0"/>
              <w:kinsoku/>
              <w:wordWrap/>
              <w:overflowPunct/>
              <w:topLinePunct w:val="0"/>
              <w:autoSpaceDE/>
              <w:autoSpaceDN/>
              <w:bidi w:val="0"/>
              <w:adjustRightInd/>
              <w:spacing w:line="360" w:lineRule="auto"/>
              <w:textAlignment w:val="auto"/>
              <w:rPr>
                <w:b/>
                <w:bCs/>
                <w:color w:val="auto"/>
                <w:highlight w:val="none"/>
              </w:rPr>
            </w:pPr>
            <w:r>
              <w:rPr>
                <w:b/>
                <w:color w:val="auto"/>
                <w:highlight w:val="none"/>
              </w:rPr>
              <w:t xml:space="preserve">5.1.5  </w:t>
            </w:r>
            <w:r>
              <w:rPr>
                <w:color w:val="auto"/>
                <w:highlight w:val="none"/>
              </w:rPr>
              <w:t>砌体结构设计</w:t>
            </w:r>
            <w:r>
              <w:rPr>
                <w:rFonts w:ascii="Times New Roman" w:hAnsi="Times New Roman" w:eastAsia="宋体" w:cs="Times New Roman"/>
                <w:color w:val="auto"/>
                <w:highlight w:val="none"/>
              </w:rPr>
              <w:t>使用年限</w:t>
            </w:r>
            <w:r>
              <w:rPr>
                <w:rFonts w:hint="default" w:ascii="Times New Roman" w:hAnsi="Times New Roman" w:eastAsia="宋体" w:cs="Times New Roman"/>
                <w:color w:val="auto"/>
                <w:highlight w:val="none"/>
                <w:lang w:val="en-US" w:eastAsia="zh-CN"/>
              </w:rPr>
              <w:t>应</w:t>
            </w:r>
            <w:r>
              <w:rPr>
                <w:rFonts w:ascii="Times New Roman" w:hAnsi="Times New Roman" w:eastAsia="宋体" w:cs="Times New Roman"/>
                <w:color w:val="auto"/>
                <w:highlight w:val="none"/>
              </w:rPr>
              <w:t>按现行</w:t>
            </w:r>
            <w:r>
              <w:rPr>
                <w:color w:val="auto"/>
                <w:highlight w:val="none"/>
              </w:rPr>
              <w:t>国家标准</w:t>
            </w:r>
            <w:r>
              <w:rPr>
                <w:rFonts w:hint="eastAsia"/>
                <w:bCs/>
                <w:color w:val="auto"/>
                <w:highlight w:val="none"/>
                <w:u w:val="single"/>
              </w:rPr>
              <w:t>《工程结构通用规范》GB 55001</w:t>
            </w:r>
            <w:r>
              <w:rPr>
                <w:color w:val="auto"/>
                <w:highlight w:val="none"/>
                <w:u w:val="single"/>
              </w:rPr>
              <w:t>、</w:t>
            </w:r>
            <w:r>
              <w:rPr>
                <w:color w:val="auto"/>
                <w:highlight w:val="none"/>
              </w:rPr>
              <w:t>《建筑结构可靠</w:t>
            </w:r>
            <w:r>
              <w:rPr>
                <w:color w:val="auto"/>
                <w:highlight w:val="none"/>
                <w:bdr w:val="single" w:color="000000" w:sz="4" w:space="0"/>
              </w:rPr>
              <w:t>度</w:t>
            </w:r>
            <w:r>
              <w:rPr>
                <w:rFonts w:hint="eastAsia"/>
                <w:color w:val="auto"/>
                <w:highlight w:val="none"/>
                <w:u w:val="single"/>
                <w:lang w:val="en-US" w:eastAsia="zh-CN"/>
              </w:rPr>
              <w:t>性</w:t>
            </w:r>
            <w:r>
              <w:rPr>
                <w:color w:val="auto"/>
                <w:highlight w:val="none"/>
              </w:rPr>
              <w:t>设计统一标准》</w:t>
            </w:r>
            <w:r>
              <w:rPr>
                <w:bCs/>
                <w:color w:val="auto"/>
                <w:highlight w:val="none"/>
              </w:rPr>
              <w:t>GB 50068的有关规定</w:t>
            </w:r>
            <w:r>
              <w:rPr>
                <w:color w:val="auto"/>
                <w:highlight w:val="none"/>
              </w:rPr>
              <w:t>确定。</w:t>
            </w:r>
          </w:p>
        </w:tc>
      </w:tr>
      <w:tr w14:paraId="7253AE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686" w:type="dxa"/>
            <w:shd w:val="clear" w:color="auto" w:fill="auto"/>
            <w:vAlign w:val="center"/>
          </w:tcPr>
          <w:p w14:paraId="6B332A3C">
            <w:pPr>
              <w:pageBreakBefore w:val="0"/>
              <w:widowControl/>
              <w:kinsoku/>
              <w:wordWrap/>
              <w:overflowPunct/>
              <w:topLinePunct w:val="0"/>
              <w:bidi w:val="0"/>
              <w:snapToGrid w:val="0"/>
              <w:spacing w:line="360" w:lineRule="auto"/>
              <w:ind w:left="1" w:leftChars="0"/>
              <w:textAlignment w:val="auto"/>
              <w:rPr>
                <w:rFonts w:ascii="Times New Roman" w:hAnsi="Times New Roman" w:eastAsia="宋体" w:cs="Times New Roman"/>
                <w:bCs/>
                <w:kern w:val="2"/>
                <w:sz w:val="21"/>
                <w:szCs w:val="21"/>
                <w:lang w:val="en-US" w:eastAsia="zh-CN" w:bidi="ar-SA"/>
              </w:rPr>
            </w:pPr>
            <w:r>
              <w:rPr>
                <w:b/>
                <w:color w:val="auto"/>
                <w:highlight w:val="none"/>
              </w:rPr>
              <w:t xml:space="preserve">5.4.1  </w:t>
            </w:r>
            <w:r>
              <w:rPr>
                <w:color w:val="auto"/>
                <w:highlight w:val="none"/>
              </w:rPr>
              <w:t>块体材料应用技术标准应根据不同作用效应及块体材料固有特性，给出构件相应承载力计算方法及相应的构造要求。</w:t>
            </w:r>
          </w:p>
        </w:tc>
        <w:tc>
          <w:tcPr>
            <w:tcW w:w="4716" w:type="dxa"/>
            <w:shd w:val="clear" w:color="auto" w:fill="auto"/>
            <w:vAlign w:val="center"/>
          </w:tcPr>
          <w:p w14:paraId="05ABB1AF">
            <w:pPr>
              <w:pageBreakBefore w:val="0"/>
              <w:widowControl/>
              <w:kinsoku/>
              <w:wordWrap/>
              <w:overflowPunct/>
              <w:topLinePunct w:val="0"/>
              <w:bidi w:val="0"/>
              <w:snapToGrid w:val="0"/>
              <w:spacing w:line="360" w:lineRule="auto"/>
              <w:ind w:left="1"/>
              <w:textAlignment w:val="auto"/>
              <w:rPr>
                <w:rFonts w:ascii="Times New Roman" w:hAnsi="Times New Roman" w:eastAsia="宋体" w:cs="Times New Roman"/>
                <w:bCs/>
                <w:kern w:val="2"/>
                <w:sz w:val="21"/>
                <w:szCs w:val="21"/>
                <w:lang w:val="en-US" w:eastAsia="zh-CN" w:bidi="ar-SA"/>
              </w:rPr>
            </w:pPr>
            <w:r>
              <w:rPr>
                <w:b/>
                <w:color w:val="auto"/>
                <w:highlight w:val="none"/>
              </w:rPr>
              <w:t xml:space="preserve">5.4.1  </w:t>
            </w:r>
            <w:r>
              <w:rPr>
                <w:color w:val="auto"/>
                <w:highlight w:val="none"/>
              </w:rPr>
              <w:t>块体材料应用技术标准应根据不同作用效应及</w:t>
            </w:r>
            <w:r>
              <w:rPr>
                <w:color w:val="auto"/>
                <w:highlight w:val="none"/>
                <w:bdr w:val="single" w:color="000000" w:sz="4" w:space="0"/>
              </w:rPr>
              <w:t>块体材料</w:t>
            </w:r>
            <w:r>
              <w:rPr>
                <w:rFonts w:hint="eastAsia"/>
                <w:color w:val="auto"/>
                <w:highlight w:val="none"/>
                <w:u w:val="single"/>
              </w:rPr>
              <w:t>砌体</w:t>
            </w:r>
            <w:r>
              <w:rPr>
                <w:color w:val="auto"/>
                <w:highlight w:val="none"/>
              </w:rPr>
              <w:t>固有特性，给出构件相应承载力计算方法及相应的构造要求。</w:t>
            </w:r>
          </w:p>
        </w:tc>
      </w:tr>
      <w:tr w14:paraId="0188B9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686" w:type="dxa"/>
            <w:shd w:val="clear" w:color="auto" w:fill="auto"/>
            <w:vAlign w:val="center"/>
          </w:tcPr>
          <w:p w14:paraId="55672AF0">
            <w:pPr>
              <w:autoSpaceDE w:val="0"/>
              <w:autoSpaceDN w:val="0"/>
              <w:adjustRightInd w:val="0"/>
              <w:snapToGrid w:val="0"/>
              <w:jc w:val="left"/>
              <w:rPr>
                <w:rFonts w:ascii="Times New Roman" w:hAnsi="Times New Roman" w:eastAsia="宋体" w:cs="Times New Roman"/>
                <w:b/>
                <w:bCs/>
                <w:color w:val="auto"/>
                <w:kern w:val="2"/>
                <w:sz w:val="21"/>
                <w:szCs w:val="21"/>
                <w:highlight w:val="none"/>
                <w:lang w:val="en-US" w:eastAsia="zh-CN" w:bidi="ar-SA"/>
              </w:rPr>
            </w:pPr>
            <w:r>
              <w:rPr>
                <w:b/>
                <w:bCs w:val="0"/>
                <w:color w:val="auto"/>
                <w:highlight w:val="none"/>
              </w:rPr>
              <w:t xml:space="preserve">5.4.2  </w:t>
            </w:r>
            <w:r>
              <w:rPr>
                <w:rFonts w:hint="eastAsia" w:ascii="黑体" w:hAnsi="黑体" w:eastAsia="黑体" w:cs="黑体"/>
                <w:b/>
                <w:bCs w:val="0"/>
                <w:color w:val="auto"/>
                <w:highlight w:val="none"/>
              </w:rPr>
              <w:t>夹心保温复合墙应进行抗风设计。</w:t>
            </w:r>
          </w:p>
        </w:tc>
        <w:tc>
          <w:tcPr>
            <w:tcW w:w="4716" w:type="dxa"/>
            <w:shd w:val="clear" w:color="auto" w:fill="auto"/>
            <w:vAlign w:val="center"/>
          </w:tcPr>
          <w:p w14:paraId="48D16540">
            <w:pPr>
              <w:pageBreakBefore w:val="0"/>
              <w:kinsoku/>
              <w:wordWrap/>
              <w:overflowPunct/>
              <w:topLinePunct w:val="0"/>
              <w:autoSpaceDE w:val="0"/>
              <w:autoSpaceDN w:val="0"/>
              <w:bidi w:val="0"/>
              <w:adjustRightInd w:val="0"/>
              <w:snapToGrid w:val="0"/>
              <w:spacing w:line="360" w:lineRule="auto"/>
              <w:jc w:val="left"/>
              <w:textAlignment w:val="auto"/>
              <w:rPr>
                <w:b/>
                <w:bCs/>
                <w:color w:val="auto"/>
                <w:highlight w:val="none"/>
              </w:rPr>
            </w:pPr>
            <w:r>
              <w:rPr>
                <w:b/>
                <w:bCs w:val="0"/>
                <w:color w:val="auto"/>
                <w:highlight w:val="none"/>
                <w:bdr w:val="single" w:color="000000" w:sz="0" w:space="0"/>
              </w:rPr>
              <w:t xml:space="preserve">5.4.2  </w:t>
            </w:r>
            <w:r>
              <w:rPr>
                <w:rFonts w:hint="eastAsia" w:ascii="黑体" w:hAnsi="黑体" w:eastAsia="黑体" w:cs="黑体"/>
                <w:b/>
                <w:bCs w:val="0"/>
                <w:color w:val="auto"/>
                <w:highlight w:val="none"/>
                <w:bdr w:val="single" w:color="000000" w:sz="0" w:space="0"/>
              </w:rPr>
              <w:t>夹心保温复合墙应进行抗风设计。</w:t>
            </w:r>
          </w:p>
        </w:tc>
      </w:tr>
      <w:tr w14:paraId="7D6674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686" w:type="dxa"/>
            <w:shd w:val="clear" w:color="auto" w:fill="auto"/>
            <w:vAlign w:val="center"/>
          </w:tcPr>
          <w:p w14:paraId="34E686F7">
            <w:pPr>
              <w:autoSpaceDE w:val="0"/>
              <w:autoSpaceDN w:val="0"/>
              <w:adjustRightInd w:val="0"/>
              <w:snapToGrid w:val="0"/>
              <w:jc w:val="left"/>
              <w:rPr>
                <w:b/>
                <w:bCs w:val="0"/>
                <w:color w:val="auto"/>
                <w:highlight w:val="none"/>
                <w:bdr w:val="single" w:color="000000" w:sz="0" w:space="0"/>
              </w:rPr>
            </w:pPr>
          </w:p>
        </w:tc>
        <w:tc>
          <w:tcPr>
            <w:tcW w:w="4716" w:type="dxa"/>
            <w:shd w:val="clear" w:color="auto" w:fill="auto"/>
            <w:vAlign w:val="center"/>
          </w:tcPr>
          <w:p w14:paraId="5EFB101B">
            <w:pPr>
              <w:pageBreakBefore w:val="0"/>
              <w:kinsoku/>
              <w:wordWrap/>
              <w:overflowPunct/>
              <w:topLinePunct w:val="0"/>
              <w:autoSpaceDE w:val="0"/>
              <w:autoSpaceDN w:val="0"/>
              <w:bidi w:val="0"/>
              <w:adjustRightInd w:val="0"/>
              <w:snapToGrid w:val="0"/>
              <w:spacing w:line="360" w:lineRule="auto"/>
              <w:jc w:val="left"/>
              <w:textAlignment w:val="auto"/>
              <w:rPr>
                <w:b/>
                <w:color w:val="auto"/>
                <w:highlight w:val="none"/>
              </w:rPr>
            </w:pPr>
            <w:r>
              <w:rPr>
                <w:b/>
                <w:color w:val="auto"/>
                <w:highlight w:val="none"/>
                <w:u w:val="single"/>
              </w:rPr>
              <w:t>5.4.2</w:t>
            </w:r>
            <w:r>
              <w:rPr>
                <w:rFonts w:hint="eastAsia"/>
                <w:b/>
                <w:color w:val="auto"/>
                <w:highlight w:val="none"/>
                <w:u w:val="single"/>
                <w:lang w:val="en-US" w:eastAsia="zh-CN"/>
              </w:rPr>
              <w:t>A</w:t>
            </w:r>
            <w:r>
              <w:rPr>
                <w:b/>
                <w:color w:val="auto"/>
                <w:highlight w:val="none"/>
                <w:u w:val="none"/>
              </w:rPr>
              <w:t xml:space="preserve"> </w:t>
            </w:r>
            <w:r>
              <w:rPr>
                <w:color w:val="auto"/>
                <w:highlight w:val="none"/>
                <w:u w:val="single"/>
              </w:rPr>
              <w:t>夹心保温复合墙应</w:t>
            </w:r>
            <w:r>
              <w:rPr>
                <w:rFonts w:hint="eastAsia"/>
                <w:color w:val="auto"/>
                <w:highlight w:val="none"/>
                <w:u w:val="single"/>
              </w:rPr>
              <w:t>考虑面外风荷载和地震作用的影响</w:t>
            </w:r>
            <w:r>
              <w:rPr>
                <w:color w:val="auto"/>
                <w:highlight w:val="none"/>
                <w:u w:val="single"/>
              </w:rPr>
              <w:t>。</w:t>
            </w:r>
          </w:p>
        </w:tc>
      </w:tr>
      <w:tr w14:paraId="6A824D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686" w:type="dxa"/>
            <w:shd w:val="clear" w:color="auto" w:fill="auto"/>
            <w:vAlign w:val="center"/>
          </w:tcPr>
          <w:p w14:paraId="5D6E3BA6">
            <w:pPr>
              <w:keepNext w:val="0"/>
              <w:keepLines w:val="0"/>
              <w:pageBreakBefore w:val="0"/>
              <w:widowControl w:val="0"/>
              <w:kinsoku/>
              <w:wordWrap/>
              <w:overflowPunct/>
              <w:topLinePunct w:val="0"/>
              <w:bidi w:val="0"/>
              <w:spacing w:line="360" w:lineRule="auto"/>
              <w:textAlignment w:val="auto"/>
              <w:rPr>
                <w:b/>
                <w:bCs w:val="0"/>
                <w:color w:val="auto"/>
                <w:highlight w:val="none"/>
                <w:bdr w:val="single" w:color="000000" w:sz="0" w:space="0"/>
              </w:rPr>
            </w:pPr>
            <w:r>
              <w:rPr>
                <w:b/>
                <w:bCs w:val="0"/>
                <w:color w:val="auto"/>
                <w:highlight w:val="none"/>
              </w:rPr>
              <w:t xml:space="preserve">5.4.3  </w:t>
            </w:r>
            <w:r>
              <w:rPr>
                <w:rFonts w:hint="eastAsia" w:ascii="黑体" w:hAnsi="黑体" w:eastAsia="黑体" w:cs="黑体"/>
                <w:b/>
                <w:bCs w:val="0"/>
                <w:color w:val="auto"/>
                <w:highlight w:val="none"/>
              </w:rPr>
              <w:t>外墙板应进行抗风及连接设计，板材与主体结构应柔性连接。</w:t>
            </w:r>
          </w:p>
        </w:tc>
        <w:tc>
          <w:tcPr>
            <w:tcW w:w="4716" w:type="dxa"/>
            <w:shd w:val="clear" w:color="auto" w:fill="auto"/>
            <w:vAlign w:val="center"/>
          </w:tcPr>
          <w:p w14:paraId="221B6E2D">
            <w:pPr>
              <w:keepNext w:val="0"/>
              <w:keepLines w:val="0"/>
              <w:pageBreakBefore w:val="0"/>
              <w:widowControl w:val="0"/>
              <w:kinsoku/>
              <w:wordWrap/>
              <w:overflowPunct/>
              <w:topLinePunct w:val="0"/>
              <w:bidi w:val="0"/>
              <w:spacing w:line="360" w:lineRule="auto"/>
              <w:textAlignment w:val="auto"/>
              <w:rPr>
                <w:b/>
                <w:color w:val="auto"/>
                <w:highlight w:val="none"/>
                <w:u w:val="single"/>
              </w:rPr>
            </w:pPr>
            <w:r>
              <w:rPr>
                <w:b/>
                <w:bCs w:val="0"/>
                <w:color w:val="auto"/>
                <w:highlight w:val="none"/>
                <w:bdr w:val="single" w:color="000000" w:sz="0" w:space="0"/>
              </w:rPr>
              <w:t xml:space="preserve">5.4.3  </w:t>
            </w:r>
            <w:r>
              <w:rPr>
                <w:rFonts w:hint="eastAsia" w:ascii="黑体" w:hAnsi="黑体" w:eastAsia="黑体" w:cs="黑体"/>
                <w:b/>
                <w:bCs w:val="0"/>
                <w:color w:val="auto"/>
                <w:highlight w:val="none"/>
                <w:bdr w:val="single" w:color="000000" w:sz="0" w:space="0"/>
              </w:rPr>
              <w:t>外墙板应进行抗风及连接设计，板材与主体结构应柔性连接。</w:t>
            </w:r>
          </w:p>
        </w:tc>
      </w:tr>
      <w:tr w14:paraId="24E294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686" w:type="dxa"/>
            <w:shd w:val="clear" w:color="auto" w:fill="auto"/>
            <w:vAlign w:val="center"/>
          </w:tcPr>
          <w:p w14:paraId="1B057BFF">
            <w:pPr>
              <w:keepNext w:val="0"/>
              <w:keepLines w:val="0"/>
              <w:pageBreakBefore w:val="0"/>
              <w:widowControl w:val="0"/>
              <w:kinsoku/>
              <w:wordWrap/>
              <w:overflowPunct/>
              <w:topLinePunct w:val="0"/>
              <w:autoSpaceDE/>
              <w:autoSpaceDN/>
              <w:bidi w:val="0"/>
              <w:adjustRightInd/>
              <w:snapToGrid/>
              <w:spacing w:line="360" w:lineRule="auto"/>
              <w:textAlignment w:val="auto"/>
              <w:rPr>
                <w:b/>
                <w:bCs w:val="0"/>
                <w:color w:val="auto"/>
                <w:highlight w:val="none"/>
              </w:rPr>
            </w:pPr>
          </w:p>
        </w:tc>
        <w:tc>
          <w:tcPr>
            <w:tcW w:w="4716" w:type="dxa"/>
            <w:shd w:val="clear" w:color="auto" w:fill="auto"/>
            <w:vAlign w:val="center"/>
          </w:tcPr>
          <w:p w14:paraId="25145FED">
            <w:pPr>
              <w:keepNext w:val="0"/>
              <w:keepLines w:val="0"/>
              <w:pageBreakBefore w:val="0"/>
              <w:widowControl w:val="0"/>
              <w:kinsoku/>
              <w:wordWrap/>
              <w:overflowPunct/>
              <w:topLinePunct w:val="0"/>
              <w:autoSpaceDE/>
              <w:autoSpaceDN/>
              <w:bidi w:val="0"/>
              <w:adjustRightInd/>
              <w:snapToGrid/>
              <w:spacing w:line="360" w:lineRule="auto"/>
              <w:textAlignment w:val="auto"/>
              <w:rPr>
                <w:b/>
                <w:bCs w:val="0"/>
                <w:color w:val="auto"/>
                <w:highlight w:val="none"/>
                <w:bdr w:val="single" w:color="000000" w:sz="0" w:space="0"/>
              </w:rPr>
            </w:pPr>
            <w:r>
              <w:rPr>
                <w:b/>
                <w:color w:val="auto"/>
                <w:highlight w:val="none"/>
                <w:u w:val="single"/>
              </w:rPr>
              <w:t>5.4.3</w:t>
            </w:r>
            <w:r>
              <w:rPr>
                <w:rFonts w:hint="eastAsia"/>
                <w:b/>
                <w:color w:val="auto"/>
                <w:highlight w:val="none"/>
                <w:u w:val="single"/>
                <w:lang w:val="en-US" w:eastAsia="zh-CN"/>
              </w:rPr>
              <w:t>A</w:t>
            </w:r>
            <w:r>
              <w:rPr>
                <w:b/>
                <w:color w:val="auto"/>
                <w:highlight w:val="none"/>
              </w:rPr>
              <w:t xml:space="preserve"> </w:t>
            </w:r>
            <w:r>
              <w:rPr>
                <w:color w:val="auto"/>
                <w:highlight w:val="none"/>
                <w:u w:val="single"/>
              </w:rPr>
              <w:t>外墙板应进行抗风及连接设计，板材与主体结构应柔性连接。</w:t>
            </w:r>
          </w:p>
        </w:tc>
      </w:tr>
      <w:tr w14:paraId="20FC37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686" w:type="dxa"/>
            <w:shd w:val="clear" w:color="auto" w:fill="auto"/>
            <w:vAlign w:val="center"/>
          </w:tcPr>
          <w:p w14:paraId="1CA7DD0D">
            <w:pPr>
              <w:pageBreakBefore w:val="0"/>
              <w:widowControl/>
              <w:kinsoku/>
              <w:wordWrap/>
              <w:overflowPunct/>
              <w:topLinePunct w:val="0"/>
              <w:bidi w:val="0"/>
              <w:snapToGrid w:val="0"/>
              <w:spacing w:line="360" w:lineRule="auto"/>
              <w:ind w:left="1"/>
              <w:textAlignment w:val="auto"/>
              <w:rPr>
                <w:b/>
                <w:color w:val="auto"/>
                <w:highlight w:val="none"/>
              </w:rPr>
            </w:pPr>
            <w:r>
              <w:rPr>
                <w:b/>
                <w:color w:val="auto"/>
                <w:highlight w:val="none"/>
              </w:rPr>
              <w:t xml:space="preserve">5.5.1  </w:t>
            </w:r>
            <w:r>
              <w:rPr>
                <w:color w:val="auto"/>
                <w:highlight w:val="none"/>
              </w:rPr>
              <w:t>砌体结构抗震设计应符合下列规定：</w:t>
            </w:r>
          </w:p>
          <w:p w14:paraId="6F897BB4">
            <w:pPr>
              <w:pageBreakBefore w:val="0"/>
              <w:kinsoku/>
              <w:wordWrap/>
              <w:overflowPunct/>
              <w:topLinePunct w:val="0"/>
              <w:bidi w:val="0"/>
              <w:spacing w:line="360" w:lineRule="auto"/>
              <w:ind w:firstLine="422" w:firstLineChars="200"/>
              <w:textAlignment w:val="auto"/>
              <w:rPr>
                <w:color w:val="auto"/>
                <w:highlight w:val="none"/>
              </w:rPr>
            </w:pPr>
            <w:r>
              <w:rPr>
                <w:b/>
                <w:color w:val="auto"/>
                <w:highlight w:val="none"/>
              </w:rPr>
              <w:t xml:space="preserve">1  </w:t>
            </w:r>
            <w:r>
              <w:rPr>
                <w:color w:val="auto"/>
                <w:highlight w:val="none"/>
              </w:rPr>
              <w:t>应根据块体材料的固有特性，确定多层砌体房屋的层数、总高度、承重房屋的层高、总高度和总宽度的最大比值、最小抗震墙厚度和抗震墙间距及墙段局部尺寸的限值；</w:t>
            </w:r>
          </w:p>
          <w:p w14:paraId="79010FD9">
            <w:pPr>
              <w:pageBreakBefore w:val="0"/>
              <w:kinsoku/>
              <w:wordWrap/>
              <w:overflowPunct/>
              <w:topLinePunct w:val="0"/>
              <w:bidi w:val="0"/>
              <w:spacing w:line="360" w:lineRule="auto"/>
              <w:ind w:firstLine="422" w:firstLineChars="200"/>
              <w:textAlignment w:val="auto"/>
              <w:rPr>
                <w:color w:val="auto"/>
                <w:highlight w:val="none"/>
              </w:rPr>
            </w:pPr>
            <w:r>
              <w:rPr>
                <w:b/>
                <w:color w:val="auto"/>
                <w:highlight w:val="none"/>
              </w:rPr>
              <w:t xml:space="preserve">2  </w:t>
            </w:r>
            <w:r>
              <w:rPr>
                <w:color w:val="auto"/>
                <w:highlight w:val="none"/>
              </w:rPr>
              <w:t>应根据砌体的抗震性能，确定墙体的承载力计算方法和相应的构造措施；</w:t>
            </w:r>
          </w:p>
          <w:p w14:paraId="3FA4064F">
            <w:pPr>
              <w:pageBreakBefore w:val="0"/>
              <w:kinsoku/>
              <w:wordWrap/>
              <w:overflowPunct/>
              <w:topLinePunct w:val="0"/>
              <w:bidi w:val="0"/>
              <w:spacing w:line="360" w:lineRule="auto"/>
              <w:ind w:firstLine="422" w:firstLineChars="200"/>
              <w:textAlignment w:val="auto"/>
              <w:rPr>
                <w:color w:val="auto"/>
                <w:highlight w:val="none"/>
              </w:rPr>
            </w:pPr>
            <w:r>
              <w:rPr>
                <w:b/>
                <w:color w:val="auto"/>
                <w:highlight w:val="none"/>
              </w:rPr>
              <w:t xml:space="preserve">3  </w:t>
            </w:r>
            <w:r>
              <w:rPr>
                <w:color w:val="auto"/>
                <w:highlight w:val="none"/>
              </w:rPr>
              <w:t>应根据块体材料的固有特性，采取相应的构造措施，提高结构的延性和整体性</w:t>
            </w:r>
            <w:r>
              <w:rPr>
                <w:rFonts w:hint="eastAsia"/>
                <w:color w:val="auto"/>
                <w:highlight w:val="none"/>
              </w:rPr>
              <w:t>；</w:t>
            </w:r>
          </w:p>
          <w:p w14:paraId="3793E93A">
            <w:pPr>
              <w:pageBreakBefore w:val="0"/>
              <w:kinsoku/>
              <w:wordWrap/>
              <w:overflowPunct/>
              <w:topLinePunct w:val="0"/>
              <w:bidi w:val="0"/>
              <w:spacing w:line="360" w:lineRule="auto"/>
              <w:ind w:firstLine="422" w:firstLineChars="200"/>
              <w:textAlignment w:val="auto"/>
              <w:rPr>
                <w:rFonts w:ascii="Times New Roman" w:hAnsi="Times New Roman" w:eastAsia="宋体" w:cs="Times New Roman"/>
                <w:b/>
                <w:color w:val="auto"/>
                <w:kern w:val="2"/>
                <w:sz w:val="21"/>
                <w:szCs w:val="21"/>
                <w:highlight w:val="none"/>
                <w:lang w:val="en-US" w:eastAsia="zh-CN" w:bidi="ar-SA"/>
              </w:rPr>
            </w:pPr>
            <w:r>
              <w:rPr>
                <w:b/>
                <w:color w:val="auto"/>
                <w:highlight w:val="none"/>
              </w:rPr>
              <w:t>4</w:t>
            </w:r>
            <w:r>
              <w:rPr>
                <w:color w:val="auto"/>
                <w:highlight w:val="none"/>
              </w:rPr>
              <w:t xml:space="preserve"> 带有方(尖)角孔的多孔砖不宜用于地震设防区砌体结构的抗侧力墙。</w:t>
            </w:r>
          </w:p>
        </w:tc>
        <w:tc>
          <w:tcPr>
            <w:tcW w:w="4716" w:type="dxa"/>
            <w:shd w:val="clear" w:color="auto" w:fill="auto"/>
            <w:vAlign w:val="center"/>
          </w:tcPr>
          <w:p w14:paraId="6D66BF6E">
            <w:pPr>
              <w:pageBreakBefore w:val="0"/>
              <w:widowControl/>
              <w:kinsoku/>
              <w:wordWrap/>
              <w:overflowPunct/>
              <w:topLinePunct w:val="0"/>
              <w:bidi w:val="0"/>
              <w:snapToGrid w:val="0"/>
              <w:spacing w:line="360" w:lineRule="auto"/>
              <w:ind w:left="1"/>
              <w:textAlignment w:val="auto"/>
              <w:rPr>
                <w:b/>
                <w:color w:val="auto"/>
                <w:highlight w:val="none"/>
              </w:rPr>
            </w:pPr>
            <w:r>
              <w:rPr>
                <w:b/>
                <w:color w:val="auto"/>
                <w:highlight w:val="none"/>
              </w:rPr>
              <w:t xml:space="preserve">5.5.1  </w:t>
            </w:r>
            <w:r>
              <w:rPr>
                <w:color w:val="auto"/>
                <w:highlight w:val="none"/>
              </w:rPr>
              <w:t>砌体结构抗震设计应符合下列规定：</w:t>
            </w:r>
          </w:p>
          <w:p w14:paraId="2DDDB061">
            <w:pPr>
              <w:pageBreakBefore w:val="0"/>
              <w:kinsoku/>
              <w:wordWrap/>
              <w:overflowPunct/>
              <w:topLinePunct w:val="0"/>
              <w:bidi w:val="0"/>
              <w:spacing w:line="360" w:lineRule="auto"/>
              <w:ind w:firstLine="422" w:firstLineChars="200"/>
              <w:textAlignment w:val="auto"/>
              <w:rPr>
                <w:color w:val="auto"/>
                <w:highlight w:val="none"/>
              </w:rPr>
            </w:pPr>
            <w:r>
              <w:rPr>
                <w:b/>
                <w:color w:val="auto"/>
                <w:highlight w:val="none"/>
              </w:rPr>
              <w:t xml:space="preserve">1  </w:t>
            </w:r>
            <w:r>
              <w:rPr>
                <w:color w:val="auto"/>
                <w:highlight w:val="none"/>
              </w:rPr>
              <w:t>应根据</w:t>
            </w:r>
            <w:r>
              <w:rPr>
                <w:color w:val="auto"/>
                <w:highlight w:val="none"/>
                <w:bdr w:val="single" w:color="000000" w:sz="4" w:space="0"/>
              </w:rPr>
              <w:t>块体材料</w:t>
            </w:r>
            <w:r>
              <w:rPr>
                <w:rFonts w:hint="eastAsia"/>
                <w:color w:val="auto"/>
                <w:highlight w:val="none"/>
                <w:u w:val="single"/>
              </w:rPr>
              <w:t>砌体</w:t>
            </w:r>
            <w:r>
              <w:rPr>
                <w:color w:val="auto"/>
                <w:highlight w:val="none"/>
              </w:rPr>
              <w:t>的固有特性，确定多层砌体房屋的层数、总高度、承重房屋的层高、总高度和总宽度的最大比值、最小抗震墙厚度和抗震墙间距及墙段局部尺寸的限值；</w:t>
            </w:r>
          </w:p>
          <w:p w14:paraId="22034F82">
            <w:pPr>
              <w:pageBreakBefore w:val="0"/>
              <w:kinsoku/>
              <w:wordWrap/>
              <w:overflowPunct/>
              <w:topLinePunct w:val="0"/>
              <w:bidi w:val="0"/>
              <w:spacing w:line="360" w:lineRule="auto"/>
              <w:ind w:firstLine="422" w:firstLineChars="200"/>
              <w:textAlignment w:val="auto"/>
              <w:rPr>
                <w:color w:val="auto"/>
                <w:highlight w:val="none"/>
              </w:rPr>
            </w:pPr>
            <w:r>
              <w:rPr>
                <w:b/>
                <w:color w:val="auto"/>
                <w:highlight w:val="none"/>
              </w:rPr>
              <w:t xml:space="preserve">2  </w:t>
            </w:r>
            <w:r>
              <w:rPr>
                <w:color w:val="auto"/>
                <w:highlight w:val="none"/>
              </w:rPr>
              <w:t>应根据砌体的抗震性能，确定墙体的承载力计算方法和相应的构造措施；</w:t>
            </w:r>
          </w:p>
          <w:p w14:paraId="2029ABE7">
            <w:pPr>
              <w:pageBreakBefore w:val="0"/>
              <w:kinsoku/>
              <w:wordWrap/>
              <w:overflowPunct/>
              <w:topLinePunct w:val="0"/>
              <w:bidi w:val="0"/>
              <w:spacing w:line="360" w:lineRule="auto"/>
              <w:ind w:firstLine="422" w:firstLineChars="200"/>
              <w:textAlignment w:val="auto"/>
              <w:rPr>
                <w:color w:val="auto"/>
                <w:highlight w:val="none"/>
              </w:rPr>
            </w:pPr>
            <w:r>
              <w:rPr>
                <w:b/>
                <w:color w:val="auto"/>
                <w:highlight w:val="none"/>
              </w:rPr>
              <w:t xml:space="preserve">3  </w:t>
            </w:r>
            <w:r>
              <w:rPr>
                <w:color w:val="auto"/>
                <w:highlight w:val="none"/>
              </w:rPr>
              <w:t>应根据</w:t>
            </w:r>
            <w:r>
              <w:rPr>
                <w:color w:val="auto"/>
                <w:highlight w:val="none"/>
                <w:bdr w:val="single" w:color="000000" w:sz="4" w:space="0"/>
              </w:rPr>
              <w:t>块体材料</w:t>
            </w:r>
            <w:r>
              <w:rPr>
                <w:rFonts w:hint="eastAsia"/>
                <w:color w:val="auto"/>
                <w:highlight w:val="none"/>
                <w:u w:val="single"/>
              </w:rPr>
              <w:t>砌体</w:t>
            </w:r>
            <w:r>
              <w:rPr>
                <w:color w:val="auto"/>
                <w:highlight w:val="none"/>
              </w:rPr>
              <w:t>的固有特性，采取相应的构造措施，提高结构的延性和整体性</w:t>
            </w:r>
            <w:r>
              <w:rPr>
                <w:rFonts w:hint="eastAsia"/>
                <w:color w:val="auto"/>
                <w:highlight w:val="none"/>
              </w:rPr>
              <w:t>；</w:t>
            </w:r>
          </w:p>
          <w:p w14:paraId="6B767F75">
            <w:pPr>
              <w:pageBreakBefore w:val="0"/>
              <w:kinsoku/>
              <w:wordWrap/>
              <w:overflowPunct/>
              <w:topLinePunct w:val="0"/>
              <w:bidi w:val="0"/>
              <w:spacing w:line="360" w:lineRule="auto"/>
              <w:ind w:firstLine="422" w:firstLineChars="200"/>
              <w:textAlignment w:val="auto"/>
              <w:rPr>
                <w:b/>
                <w:color w:val="auto"/>
                <w:highlight w:val="none"/>
              </w:rPr>
            </w:pPr>
            <w:r>
              <w:rPr>
                <w:b/>
                <w:color w:val="auto"/>
                <w:highlight w:val="none"/>
              </w:rPr>
              <w:t>4</w:t>
            </w:r>
            <w:r>
              <w:rPr>
                <w:color w:val="auto"/>
                <w:highlight w:val="none"/>
              </w:rPr>
              <w:t xml:space="preserve"> 带有方(尖)角孔的多孔砖不宜用于地震设防区砌体结构的抗侧力墙。</w:t>
            </w:r>
          </w:p>
        </w:tc>
      </w:tr>
      <w:tr w14:paraId="7313A5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686" w:type="dxa"/>
            <w:shd w:val="clear" w:color="auto" w:fill="auto"/>
            <w:vAlign w:val="center"/>
          </w:tcPr>
          <w:p w14:paraId="5884CF75">
            <w:pPr>
              <w:keepNext w:val="0"/>
              <w:keepLines w:val="0"/>
              <w:pageBreakBefore w:val="0"/>
              <w:widowControl w:val="0"/>
              <w:kinsoku/>
              <w:wordWrap/>
              <w:overflowPunct/>
              <w:topLinePunct w:val="0"/>
              <w:autoSpaceDE/>
              <w:autoSpaceDN/>
              <w:bidi w:val="0"/>
              <w:adjustRightInd/>
              <w:snapToGrid/>
              <w:spacing w:line="360" w:lineRule="auto"/>
              <w:textAlignment w:val="auto"/>
              <w:rPr>
                <w:b/>
                <w:color w:val="auto"/>
                <w:highlight w:val="none"/>
              </w:rPr>
            </w:pPr>
            <w:r>
              <w:rPr>
                <w:b/>
                <w:bCs w:val="0"/>
                <w:color w:val="auto"/>
                <w:highlight w:val="none"/>
              </w:rPr>
              <w:t xml:space="preserve">5.5.2  </w:t>
            </w:r>
            <w:r>
              <w:rPr>
                <w:rFonts w:hint="eastAsia" w:ascii="黑体" w:hAnsi="黑体" w:eastAsia="黑体" w:cs="黑体"/>
                <w:b/>
                <w:bCs w:val="0"/>
                <w:color w:val="auto"/>
                <w:highlight w:val="none"/>
              </w:rPr>
              <w:t>外墙板与主体结构连接件承载力设计的安全等级应提高一级。</w:t>
            </w:r>
          </w:p>
        </w:tc>
        <w:tc>
          <w:tcPr>
            <w:tcW w:w="4716" w:type="dxa"/>
            <w:shd w:val="clear" w:color="auto" w:fill="auto"/>
            <w:vAlign w:val="center"/>
          </w:tcPr>
          <w:p w14:paraId="247F58D9">
            <w:pPr>
              <w:keepNext w:val="0"/>
              <w:keepLines w:val="0"/>
              <w:pageBreakBefore w:val="0"/>
              <w:widowControl w:val="0"/>
              <w:kinsoku/>
              <w:wordWrap/>
              <w:overflowPunct/>
              <w:topLinePunct w:val="0"/>
              <w:autoSpaceDE/>
              <w:autoSpaceDN/>
              <w:bidi w:val="0"/>
              <w:adjustRightInd/>
              <w:snapToGrid/>
              <w:spacing w:line="360" w:lineRule="auto"/>
              <w:textAlignment w:val="auto"/>
              <w:rPr>
                <w:b/>
                <w:color w:val="auto"/>
                <w:highlight w:val="none"/>
              </w:rPr>
            </w:pPr>
            <w:r>
              <w:rPr>
                <w:b/>
                <w:bCs w:val="0"/>
                <w:color w:val="auto"/>
                <w:highlight w:val="none"/>
                <w:bdr w:val="single" w:color="000000" w:sz="0" w:space="0"/>
              </w:rPr>
              <w:t xml:space="preserve">5.5.2  </w:t>
            </w:r>
            <w:r>
              <w:rPr>
                <w:rFonts w:hint="eastAsia" w:ascii="黑体" w:hAnsi="黑体" w:eastAsia="黑体" w:cs="黑体"/>
                <w:b/>
                <w:bCs w:val="0"/>
                <w:color w:val="auto"/>
                <w:highlight w:val="none"/>
                <w:bdr w:val="single" w:color="000000" w:sz="0" w:space="0"/>
              </w:rPr>
              <w:t>外墙板与主体结构连接件承载力设计的安全等级应提高一级。</w:t>
            </w:r>
          </w:p>
        </w:tc>
      </w:tr>
      <w:tr w14:paraId="6A0EA3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686" w:type="dxa"/>
            <w:shd w:val="clear" w:color="auto" w:fill="auto"/>
            <w:vAlign w:val="center"/>
          </w:tcPr>
          <w:p w14:paraId="13CC51A7">
            <w:pPr>
              <w:keepNext w:val="0"/>
              <w:keepLines w:val="0"/>
              <w:pageBreakBefore w:val="0"/>
              <w:widowControl w:val="0"/>
              <w:kinsoku/>
              <w:wordWrap/>
              <w:overflowPunct/>
              <w:topLinePunct w:val="0"/>
              <w:autoSpaceDE/>
              <w:autoSpaceDN/>
              <w:bidi w:val="0"/>
              <w:adjustRightInd/>
              <w:snapToGrid/>
              <w:spacing w:line="360" w:lineRule="auto"/>
              <w:textAlignment w:val="auto"/>
              <w:rPr>
                <w:b/>
                <w:bCs w:val="0"/>
                <w:color w:val="auto"/>
                <w:highlight w:val="none"/>
              </w:rPr>
            </w:pPr>
          </w:p>
        </w:tc>
        <w:tc>
          <w:tcPr>
            <w:tcW w:w="4716" w:type="dxa"/>
            <w:shd w:val="clear" w:color="auto" w:fill="auto"/>
            <w:vAlign w:val="center"/>
          </w:tcPr>
          <w:p w14:paraId="3FBB3E7A">
            <w:pPr>
              <w:keepNext w:val="0"/>
              <w:keepLines w:val="0"/>
              <w:pageBreakBefore w:val="0"/>
              <w:widowControl w:val="0"/>
              <w:kinsoku/>
              <w:wordWrap/>
              <w:overflowPunct/>
              <w:topLinePunct w:val="0"/>
              <w:autoSpaceDE/>
              <w:autoSpaceDN/>
              <w:bidi w:val="0"/>
              <w:adjustRightInd/>
              <w:snapToGrid/>
              <w:spacing w:line="360" w:lineRule="auto"/>
              <w:textAlignment w:val="auto"/>
              <w:rPr>
                <w:b/>
                <w:bCs w:val="0"/>
                <w:color w:val="auto"/>
                <w:highlight w:val="none"/>
                <w:bdr w:val="single" w:color="000000" w:sz="0" w:space="0"/>
              </w:rPr>
            </w:pPr>
            <w:r>
              <w:rPr>
                <w:b/>
                <w:color w:val="auto"/>
                <w:highlight w:val="none"/>
                <w:u w:val="single"/>
              </w:rPr>
              <w:t>5.5.2</w:t>
            </w:r>
            <w:r>
              <w:rPr>
                <w:rFonts w:hint="eastAsia"/>
                <w:b/>
                <w:color w:val="auto"/>
                <w:highlight w:val="none"/>
                <w:u w:val="single"/>
                <w:lang w:val="en-US" w:eastAsia="zh-CN"/>
              </w:rPr>
              <w:t>A</w:t>
            </w:r>
            <w:r>
              <w:rPr>
                <w:b/>
                <w:color w:val="auto"/>
                <w:highlight w:val="none"/>
              </w:rPr>
              <w:t xml:space="preserve"> </w:t>
            </w:r>
            <w:r>
              <w:rPr>
                <w:color w:val="auto"/>
                <w:highlight w:val="none"/>
                <w:u w:val="single"/>
              </w:rPr>
              <w:t>外墙板与主体结构连接件承载力设计的安全等级应提高一级。</w:t>
            </w:r>
          </w:p>
        </w:tc>
      </w:tr>
      <w:tr w14:paraId="3B9128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686" w:type="dxa"/>
            <w:shd w:val="clear" w:color="auto" w:fill="auto"/>
            <w:vAlign w:val="center"/>
          </w:tcPr>
          <w:p w14:paraId="03C07308">
            <w:pPr>
              <w:keepNext w:val="0"/>
              <w:keepLines w:val="0"/>
              <w:pageBreakBefore w:val="0"/>
              <w:widowControl w:val="0"/>
              <w:kinsoku/>
              <w:wordWrap/>
              <w:overflowPunct/>
              <w:topLinePunct w:val="0"/>
              <w:autoSpaceDE/>
              <w:autoSpaceDN/>
              <w:bidi w:val="0"/>
              <w:adjustRightInd/>
              <w:snapToGrid/>
              <w:spacing w:line="360" w:lineRule="auto"/>
              <w:textAlignment w:val="auto"/>
              <w:rPr>
                <w:b/>
                <w:bCs w:val="0"/>
                <w:color w:val="auto"/>
                <w:highlight w:val="none"/>
              </w:rPr>
            </w:pPr>
            <w:r>
              <w:rPr>
                <w:b/>
                <w:color w:val="auto"/>
                <w:highlight w:val="none"/>
              </w:rPr>
              <w:t xml:space="preserve">5.5.3  </w:t>
            </w:r>
            <w:r>
              <w:rPr>
                <w:color w:val="auto"/>
                <w:highlight w:val="none"/>
              </w:rPr>
              <w:t>墙板在罕遇地震作用下应保持其整体稳定及与主体结构连接的可靠性。</w:t>
            </w:r>
          </w:p>
        </w:tc>
        <w:tc>
          <w:tcPr>
            <w:tcW w:w="4716" w:type="dxa"/>
            <w:shd w:val="clear" w:color="auto" w:fill="auto"/>
            <w:vAlign w:val="center"/>
          </w:tcPr>
          <w:p w14:paraId="29AF30EF">
            <w:pPr>
              <w:keepNext w:val="0"/>
              <w:keepLines w:val="0"/>
              <w:pageBreakBefore w:val="0"/>
              <w:widowControl w:val="0"/>
              <w:kinsoku/>
              <w:wordWrap/>
              <w:overflowPunct/>
              <w:topLinePunct w:val="0"/>
              <w:autoSpaceDE/>
              <w:autoSpaceDN/>
              <w:bidi w:val="0"/>
              <w:adjustRightInd/>
              <w:snapToGrid/>
              <w:spacing w:line="360" w:lineRule="auto"/>
              <w:textAlignment w:val="auto"/>
              <w:rPr>
                <w:b/>
                <w:color w:val="auto"/>
                <w:highlight w:val="none"/>
                <w:u w:val="single"/>
              </w:rPr>
            </w:pPr>
            <w:r>
              <w:rPr>
                <w:b/>
                <w:color w:val="auto"/>
                <w:highlight w:val="none"/>
              </w:rPr>
              <w:t xml:space="preserve">5.5.3  </w:t>
            </w:r>
            <w:r>
              <w:rPr>
                <w:rFonts w:hint="eastAsia" w:ascii="Times New Roman" w:hAnsi="Times New Roman" w:eastAsia="宋体" w:cs="Times New Roman"/>
                <w:color w:val="auto"/>
                <w:highlight w:val="none"/>
                <w:u w:val="single"/>
                <w:lang w:val="en-US" w:eastAsia="zh-CN"/>
              </w:rPr>
              <w:t>非结构</w:t>
            </w:r>
            <w:r>
              <w:rPr>
                <w:color w:val="auto"/>
                <w:highlight w:val="none"/>
              </w:rPr>
              <w:t>墙板在罕遇地震作用下应保持其整体稳定及与主体结构连接的可靠性。</w:t>
            </w:r>
          </w:p>
        </w:tc>
      </w:tr>
      <w:tr w14:paraId="0DB4BF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8" w:hRule="atLeast"/>
        </w:trPr>
        <w:tc>
          <w:tcPr>
            <w:tcW w:w="4686" w:type="dxa"/>
            <w:shd w:val="clear" w:color="auto" w:fill="auto"/>
            <w:vAlign w:val="center"/>
          </w:tcPr>
          <w:p w14:paraId="62F19BE9">
            <w:pPr>
              <w:pStyle w:val="2"/>
              <w:keepNext/>
              <w:keepLines/>
              <w:pageBreakBefore w:val="0"/>
              <w:widowControl w:val="0"/>
              <w:kinsoku/>
              <w:wordWrap/>
              <w:overflowPunct/>
              <w:topLinePunct w:val="0"/>
              <w:autoSpaceDE/>
              <w:autoSpaceDN/>
              <w:bidi w:val="0"/>
              <w:adjustRightInd/>
              <w:snapToGrid w:val="0"/>
              <w:spacing w:before="0" w:after="0" w:line="360" w:lineRule="auto"/>
              <w:textAlignment w:val="auto"/>
              <w:rPr>
                <w:rFonts w:ascii="Arial" w:hAnsi="Arial" w:eastAsia="黑体" w:cs="Times New Roman"/>
                <w:b/>
                <w:color w:val="auto"/>
                <w:kern w:val="2"/>
                <w:sz w:val="21"/>
                <w:szCs w:val="21"/>
                <w:highlight w:val="none"/>
                <w:lang w:val="en-US" w:eastAsia="zh-CN" w:bidi="ar-SA"/>
              </w:rPr>
            </w:pPr>
            <w:r>
              <w:rPr>
                <w:color w:val="auto"/>
                <w:highlight w:val="none"/>
              </w:rPr>
              <w:t>5.6  正常使用极限状态和耐久性</w:t>
            </w:r>
          </w:p>
        </w:tc>
        <w:tc>
          <w:tcPr>
            <w:tcW w:w="4716" w:type="dxa"/>
            <w:shd w:val="clear" w:color="auto" w:fill="auto"/>
            <w:vAlign w:val="center"/>
          </w:tcPr>
          <w:p w14:paraId="49D2DDD5">
            <w:pPr>
              <w:pStyle w:val="2"/>
              <w:keepNext/>
              <w:keepLines/>
              <w:pageBreakBefore w:val="0"/>
              <w:widowControl w:val="0"/>
              <w:kinsoku/>
              <w:wordWrap/>
              <w:overflowPunct/>
              <w:topLinePunct w:val="0"/>
              <w:autoSpaceDE/>
              <w:autoSpaceDN/>
              <w:bidi w:val="0"/>
              <w:adjustRightInd/>
              <w:snapToGrid/>
              <w:spacing w:before="0" w:after="0" w:line="360" w:lineRule="auto"/>
              <w:textAlignment w:val="auto"/>
              <w:rPr>
                <w:b/>
                <w:color w:val="auto"/>
                <w:highlight w:val="none"/>
              </w:rPr>
            </w:pPr>
            <w:bookmarkStart w:id="16" w:name="_Toc5654"/>
            <w:r>
              <w:rPr>
                <w:color w:val="auto"/>
                <w:highlight w:val="none"/>
              </w:rPr>
              <w:t xml:space="preserve">5.6  </w:t>
            </w:r>
            <w:r>
              <w:rPr>
                <w:color w:val="auto"/>
                <w:highlight w:val="none"/>
                <w:bdr w:val="single" w:color="000000" w:sz="0" w:space="0"/>
              </w:rPr>
              <w:t>正常</w:t>
            </w:r>
            <w:r>
              <w:rPr>
                <w:color w:val="auto"/>
                <w:highlight w:val="none"/>
              </w:rPr>
              <w:t>使用</w:t>
            </w:r>
            <w:r>
              <w:rPr>
                <w:rFonts w:hint="eastAsia"/>
                <w:color w:val="auto"/>
                <w:highlight w:val="none"/>
                <w:u w:val="single"/>
                <w:lang w:val="en-US" w:eastAsia="zh-CN"/>
              </w:rPr>
              <w:t>性</w:t>
            </w:r>
            <w:r>
              <w:rPr>
                <w:color w:val="auto"/>
                <w:highlight w:val="none"/>
                <w:bdr w:val="single" w:color="000000" w:sz="0" w:space="0"/>
              </w:rPr>
              <w:t>极限状态</w:t>
            </w:r>
            <w:r>
              <w:rPr>
                <w:color w:val="auto"/>
                <w:highlight w:val="none"/>
              </w:rPr>
              <w:t>和耐久性</w:t>
            </w:r>
            <w:bookmarkEnd w:id="16"/>
          </w:p>
        </w:tc>
      </w:tr>
      <w:tr w14:paraId="135331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686" w:type="dxa"/>
            <w:shd w:val="clear" w:color="auto" w:fill="auto"/>
            <w:vAlign w:val="center"/>
          </w:tcPr>
          <w:p w14:paraId="5A5D6061">
            <w:pPr>
              <w:pageBreakBefore w:val="0"/>
              <w:kinsoku/>
              <w:wordWrap/>
              <w:overflowPunct/>
              <w:topLinePunct w:val="0"/>
              <w:bidi w:val="0"/>
              <w:spacing w:line="360" w:lineRule="auto"/>
              <w:textAlignment w:val="auto"/>
              <w:rPr>
                <w:rFonts w:ascii="Times New Roman" w:hAnsi="Times New Roman" w:eastAsia="宋体" w:cs="Times New Roman"/>
                <w:color w:val="auto"/>
                <w:kern w:val="2"/>
                <w:sz w:val="21"/>
                <w:szCs w:val="21"/>
                <w:highlight w:val="none"/>
                <w:lang w:val="en-US" w:eastAsia="zh-CN" w:bidi="ar-SA"/>
              </w:rPr>
            </w:pPr>
            <w:r>
              <w:rPr>
                <w:b/>
                <w:color w:val="auto"/>
                <w:highlight w:val="none"/>
              </w:rPr>
              <w:t xml:space="preserve">5.6.1  </w:t>
            </w:r>
            <w:r>
              <w:rPr>
                <w:color w:val="auto"/>
                <w:highlight w:val="none"/>
              </w:rPr>
              <w:t>承重墙结构体系除</w:t>
            </w:r>
            <w:r>
              <w:rPr>
                <w:rFonts w:hint="eastAsia"/>
                <w:color w:val="auto"/>
                <w:highlight w:val="none"/>
                <w:lang w:val="en-US" w:eastAsia="zh-CN"/>
              </w:rPr>
              <w:t>应</w:t>
            </w:r>
            <w:r>
              <w:rPr>
                <w:color w:val="auto"/>
                <w:highlight w:val="none"/>
              </w:rPr>
              <w:t>按承载力极限状态进行设计外，尚应采取相应的构造措施，满足其变形、裂缝等正常使用极限状态和耐久性。</w:t>
            </w:r>
          </w:p>
        </w:tc>
        <w:tc>
          <w:tcPr>
            <w:tcW w:w="4716" w:type="dxa"/>
            <w:shd w:val="clear" w:color="auto" w:fill="auto"/>
            <w:vAlign w:val="center"/>
          </w:tcPr>
          <w:p w14:paraId="412038F5">
            <w:pPr>
              <w:pageBreakBefore w:val="0"/>
              <w:kinsoku/>
              <w:wordWrap/>
              <w:overflowPunct/>
              <w:topLinePunct w:val="0"/>
              <w:bidi w:val="0"/>
              <w:spacing w:line="360" w:lineRule="auto"/>
              <w:textAlignment w:val="auto"/>
              <w:rPr>
                <w:color w:val="auto"/>
                <w:highlight w:val="none"/>
              </w:rPr>
            </w:pPr>
            <w:r>
              <w:rPr>
                <w:b/>
                <w:color w:val="auto"/>
                <w:highlight w:val="none"/>
              </w:rPr>
              <w:t xml:space="preserve">5.6.1  </w:t>
            </w:r>
            <w:r>
              <w:rPr>
                <w:color w:val="auto"/>
                <w:highlight w:val="none"/>
              </w:rPr>
              <w:t>承重墙结构体系除</w:t>
            </w:r>
            <w:r>
              <w:rPr>
                <w:rFonts w:hint="eastAsia"/>
                <w:color w:val="auto"/>
                <w:highlight w:val="none"/>
                <w:lang w:val="en-US" w:eastAsia="zh-CN"/>
              </w:rPr>
              <w:t>应</w:t>
            </w:r>
            <w:r>
              <w:rPr>
                <w:color w:val="auto"/>
                <w:highlight w:val="none"/>
              </w:rPr>
              <w:t>按承载力极限状态进行设计外，尚应采取相应的构造措施，满足</w:t>
            </w:r>
            <w:r>
              <w:rPr>
                <w:color w:val="auto"/>
                <w:highlight w:val="none"/>
                <w:bdr w:val="single" w:color="000000" w:sz="0" w:space="0"/>
              </w:rPr>
              <w:t>其变形、裂缝等正常</w:t>
            </w:r>
            <w:r>
              <w:rPr>
                <w:color w:val="auto"/>
                <w:highlight w:val="none"/>
              </w:rPr>
              <w:t>使用</w:t>
            </w:r>
            <w:r>
              <w:rPr>
                <w:rFonts w:hint="eastAsia"/>
                <w:color w:val="auto"/>
                <w:highlight w:val="none"/>
                <w:u w:val="single"/>
                <w:lang w:val="en-US" w:eastAsia="zh-CN"/>
              </w:rPr>
              <w:t>性</w:t>
            </w:r>
            <w:r>
              <w:rPr>
                <w:color w:val="auto"/>
                <w:highlight w:val="none"/>
                <w:bdr w:val="single" w:color="000000" w:sz="0" w:space="0"/>
              </w:rPr>
              <w:t>极限状态</w:t>
            </w:r>
            <w:r>
              <w:rPr>
                <w:color w:val="auto"/>
                <w:highlight w:val="none"/>
              </w:rPr>
              <w:t>和耐久性</w:t>
            </w:r>
            <w:r>
              <w:rPr>
                <w:rFonts w:hint="eastAsia"/>
                <w:color w:val="auto"/>
                <w:highlight w:val="none"/>
                <w:u w:val="single"/>
                <w:lang w:val="en-US" w:eastAsia="zh-CN"/>
              </w:rPr>
              <w:t>的要求</w:t>
            </w:r>
            <w:r>
              <w:rPr>
                <w:color w:val="auto"/>
                <w:highlight w:val="none"/>
              </w:rPr>
              <w:t>。</w:t>
            </w:r>
          </w:p>
        </w:tc>
      </w:tr>
      <w:tr w14:paraId="259BE8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686" w:type="dxa"/>
            <w:shd w:val="clear" w:color="auto" w:fill="auto"/>
            <w:vAlign w:val="center"/>
          </w:tcPr>
          <w:p w14:paraId="0892DBA3">
            <w:pPr>
              <w:pageBreakBefore w:val="0"/>
              <w:kinsoku/>
              <w:wordWrap/>
              <w:overflowPunct/>
              <w:topLinePunct w:val="0"/>
              <w:bidi w:val="0"/>
              <w:spacing w:line="360" w:lineRule="auto"/>
              <w:textAlignment w:val="auto"/>
              <w:rPr>
                <w:rFonts w:ascii="Times New Roman" w:hAnsi="Times New Roman" w:eastAsia="宋体" w:cs="Times New Roman"/>
                <w:b/>
                <w:color w:val="auto"/>
                <w:kern w:val="2"/>
                <w:sz w:val="21"/>
                <w:szCs w:val="21"/>
                <w:highlight w:val="none"/>
                <w:lang w:val="en-US" w:eastAsia="zh-CN" w:bidi="ar-SA"/>
              </w:rPr>
            </w:pPr>
            <w:r>
              <w:rPr>
                <w:b/>
                <w:color w:val="auto"/>
                <w:highlight w:val="none"/>
              </w:rPr>
              <w:t xml:space="preserve">5.6.2  </w:t>
            </w:r>
            <w:r>
              <w:rPr>
                <w:color w:val="auto"/>
                <w:highlight w:val="none"/>
              </w:rPr>
              <w:t>块体材料应用技术标准应给出砌体高厚比计算方法及允许高厚比。</w:t>
            </w:r>
          </w:p>
        </w:tc>
        <w:tc>
          <w:tcPr>
            <w:tcW w:w="4716" w:type="dxa"/>
            <w:shd w:val="clear" w:color="auto" w:fill="auto"/>
            <w:vAlign w:val="center"/>
          </w:tcPr>
          <w:p w14:paraId="13E1CDB8">
            <w:pPr>
              <w:pageBreakBefore w:val="0"/>
              <w:kinsoku/>
              <w:wordWrap/>
              <w:overflowPunct/>
              <w:topLinePunct w:val="0"/>
              <w:bidi w:val="0"/>
              <w:spacing w:line="360" w:lineRule="auto"/>
              <w:textAlignment w:val="auto"/>
              <w:rPr>
                <w:color w:val="auto"/>
                <w:highlight w:val="none"/>
              </w:rPr>
            </w:pPr>
            <w:r>
              <w:rPr>
                <w:b/>
                <w:color w:val="auto"/>
                <w:highlight w:val="none"/>
              </w:rPr>
              <w:t xml:space="preserve">5.6.2  </w:t>
            </w:r>
            <w:r>
              <w:rPr>
                <w:color w:val="auto"/>
                <w:highlight w:val="none"/>
              </w:rPr>
              <w:t>块体</w:t>
            </w:r>
            <w:r>
              <w:rPr>
                <w:color w:val="auto"/>
                <w:highlight w:val="none"/>
                <w:bdr w:val="single" w:color="000000" w:sz="4" w:space="0"/>
              </w:rPr>
              <w:t>材料</w:t>
            </w:r>
            <w:r>
              <w:rPr>
                <w:color w:val="auto"/>
                <w:highlight w:val="none"/>
              </w:rPr>
              <w:t>应用</w:t>
            </w:r>
            <w:r>
              <w:rPr>
                <w:color w:val="auto"/>
                <w:highlight w:val="none"/>
                <w:bdr w:val="single" w:color="000000" w:sz="0" w:space="0"/>
              </w:rPr>
              <w:t>技术标准</w:t>
            </w:r>
            <w:r>
              <w:rPr>
                <w:color w:val="auto"/>
                <w:highlight w:val="none"/>
              </w:rPr>
              <w:t>应</w:t>
            </w:r>
            <w:r>
              <w:rPr>
                <w:color w:val="auto"/>
                <w:highlight w:val="none"/>
                <w:bdr w:val="single" w:color="000000" w:sz="0" w:space="0"/>
              </w:rPr>
              <w:t>给出</w:t>
            </w:r>
            <w:r>
              <w:rPr>
                <w:rFonts w:hint="eastAsia"/>
                <w:color w:val="auto"/>
                <w:highlight w:val="none"/>
                <w:u w:val="single"/>
                <w:lang w:val="en-US" w:eastAsia="zh-CN"/>
              </w:rPr>
              <w:t>验算</w:t>
            </w:r>
            <w:r>
              <w:rPr>
                <w:color w:val="auto"/>
                <w:highlight w:val="none"/>
              </w:rPr>
              <w:t>砌体高厚比</w:t>
            </w:r>
            <w:r>
              <w:rPr>
                <w:color w:val="auto"/>
                <w:highlight w:val="none"/>
                <w:bdr w:val="single" w:color="000000" w:sz="0" w:space="0"/>
              </w:rPr>
              <w:t>计算方法及允许高厚比</w:t>
            </w:r>
            <w:r>
              <w:rPr>
                <w:color w:val="auto"/>
                <w:highlight w:val="none"/>
              </w:rPr>
              <w:t>。</w:t>
            </w:r>
          </w:p>
          <w:p w14:paraId="7C7ECDCF">
            <w:pPr>
              <w:pageBreakBefore w:val="0"/>
              <w:kinsoku/>
              <w:wordWrap/>
              <w:overflowPunct/>
              <w:topLinePunct w:val="0"/>
              <w:bidi w:val="0"/>
              <w:spacing w:line="360" w:lineRule="auto"/>
              <w:textAlignment w:val="auto"/>
              <w:rPr>
                <w:b/>
                <w:color w:val="auto"/>
                <w:highlight w:val="none"/>
              </w:rPr>
            </w:pPr>
          </w:p>
        </w:tc>
      </w:tr>
    </w:tbl>
    <w:p w14:paraId="01A12F1E">
      <w:r>
        <w:br w:type="page"/>
      </w:r>
    </w:p>
    <w:tbl>
      <w:tblPr>
        <w:tblStyle w:val="7"/>
        <w:tblW w:w="940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686"/>
        <w:gridCol w:w="4716"/>
      </w:tblGrid>
      <w:tr w14:paraId="7FD6E4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Header/>
        </w:trPr>
        <w:tc>
          <w:tcPr>
            <w:tcW w:w="4686" w:type="dxa"/>
            <w:vAlign w:val="top"/>
          </w:tcPr>
          <w:p w14:paraId="5F3031CD">
            <w:pPr>
              <w:spacing w:before="120" w:beforeLines="50" w:after="120" w:afterLines="50"/>
              <w:jc w:val="center"/>
              <w:rPr>
                <w:rFonts w:ascii="Times New Roman" w:hAnsi="Times New Roman"/>
                <w:b/>
                <w:bCs/>
                <w:szCs w:val="21"/>
              </w:rPr>
            </w:pPr>
            <w:r>
              <w:rPr>
                <w:rFonts w:ascii="Times New Roman" w:hAnsi="Times New Roman"/>
                <w:b/>
                <w:bCs/>
                <w:szCs w:val="21"/>
              </w:rPr>
              <w:t>现行《标准》条文</w:t>
            </w:r>
          </w:p>
        </w:tc>
        <w:tc>
          <w:tcPr>
            <w:tcW w:w="4716" w:type="dxa"/>
          </w:tcPr>
          <w:p w14:paraId="26E7E128">
            <w:pPr>
              <w:spacing w:before="120" w:beforeLines="50" w:after="120" w:afterLines="50"/>
              <w:jc w:val="center"/>
              <w:rPr>
                <w:rFonts w:ascii="Times New Roman" w:hAnsi="Times New Roman"/>
                <w:b/>
                <w:bCs/>
                <w:szCs w:val="21"/>
              </w:rPr>
            </w:pPr>
            <w:r>
              <w:rPr>
                <w:rFonts w:ascii="Times New Roman" w:hAnsi="Times New Roman"/>
                <w:b/>
                <w:bCs/>
                <w:szCs w:val="21"/>
              </w:rPr>
              <w:t>局部修订征求意见稿</w:t>
            </w:r>
          </w:p>
        </w:tc>
      </w:tr>
      <w:tr w14:paraId="799491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686" w:type="dxa"/>
            <w:shd w:val="clear" w:color="auto" w:fill="auto"/>
            <w:vAlign w:val="top"/>
          </w:tcPr>
          <w:p w14:paraId="4FFA10BB">
            <w:pPr>
              <w:spacing w:before="120" w:beforeLines="50" w:after="120" w:afterLines="50"/>
              <w:jc w:val="center"/>
              <w:rPr>
                <w:rFonts w:hint="default" w:ascii="Times New Roman" w:hAnsi="Times New Roman" w:eastAsia="宋体" w:cs="Times New Roman"/>
                <w:b/>
                <w:bCs/>
                <w:kern w:val="2"/>
                <w:sz w:val="21"/>
                <w:szCs w:val="21"/>
                <w:lang w:val="en-US" w:eastAsia="zh-CN" w:bidi="ar-SA"/>
              </w:rPr>
            </w:pPr>
            <w:r>
              <w:rPr>
                <w:rFonts w:hint="eastAsia"/>
                <w:b/>
                <w:bCs/>
                <w:szCs w:val="21"/>
                <w:lang w:val="en-US" w:eastAsia="zh-CN"/>
              </w:rPr>
              <w:t>6 墙体裂缝控制与构造要求</w:t>
            </w:r>
          </w:p>
        </w:tc>
        <w:tc>
          <w:tcPr>
            <w:tcW w:w="4716" w:type="dxa"/>
            <w:shd w:val="clear" w:color="auto" w:fill="auto"/>
            <w:vAlign w:val="top"/>
          </w:tcPr>
          <w:p w14:paraId="0C6F7213">
            <w:pPr>
              <w:spacing w:before="120" w:beforeLines="50" w:after="120" w:afterLines="50"/>
              <w:jc w:val="center"/>
              <w:rPr>
                <w:rFonts w:hint="default" w:ascii="Times New Roman" w:hAnsi="Times New Roman" w:eastAsia="宋体" w:cs="Times New Roman"/>
                <w:b/>
                <w:bCs/>
                <w:kern w:val="2"/>
                <w:sz w:val="21"/>
                <w:szCs w:val="21"/>
                <w:lang w:val="en-US" w:eastAsia="zh-CN" w:bidi="ar-SA"/>
              </w:rPr>
            </w:pPr>
            <w:r>
              <w:rPr>
                <w:rFonts w:hint="eastAsia"/>
                <w:b/>
                <w:bCs/>
                <w:szCs w:val="21"/>
                <w:lang w:val="en-US" w:eastAsia="zh-CN"/>
              </w:rPr>
              <w:t xml:space="preserve">6 </w:t>
            </w:r>
            <w:r>
              <w:rPr>
                <w:color w:val="auto"/>
                <w:highlight w:val="none"/>
              </w:rPr>
              <w:t>墙体裂缝控制与构造要求</w:t>
            </w:r>
          </w:p>
        </w:tc>
      </w:tr>
      <w:tr w14:paraId="4899C2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686" w:type="dxa"/>
            <w:shd w:val="clear" w:color="auto" w:fill="auto"/>
            <w:vAlign w:val="top"/>
          </w:tcPr>
          <w:p w14:paraId="237FB089">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ascii="Times New Roman" w:hAnsi="Times New Roman" w:eastAsia="宋体" w:cs="Times New Roman"/>
                <w:bCs/>
                <w:kern w:val="2"/>
                <w:sz w:val="21"/>
                <w:szCs w:val="21"/>
                <w:lang w:val="en-US" w:eastAsia="zh-CN" w:bidi="ar-SA"/>
              </w:rPr>
            </w:pPr>
            <w:r>
              <w:rPr>
                <w:b/>
                <w:bCs w:val="0"/>
                <w:color w:val="auto"/>
                <w:highlight w:val="none"/>
              </w:rPr>
              <w:t xml:space="preserve">6.1.9  </w:t>
            </w:r>
            <w:r>
              <w:rPr>
                <w:rFonts w:hint="eastAsia" w:ascii="黑体" w:hAnsi="黑体" w:eastAsia="黑体" w:cs="黑体"/>
                <w:b/>
                <w:bCs w:val="0"/>
                <w:color w:val="auto"/>
                <w:highlight w:val="none"/>
              </w:rPr>
              <w:t>外保温复合墙的饰面层选用非薄抹灰时，应对由饰面层自重累积作用所产生的变形影响采取构造措施。</w:t>
            </w:r>
          </w:p>
        </w:tc>
        <w:tc>
          <w:tcPr>
            <w:tcW w:w="4716" w:type="dxa"/>
            <w:shd w:val="clear" w:color="auto" w:fill="auto"/>
            <w:vAlign w:val="top"/>
          </w:tcPr>
          <w:p w14:paraId="2F16894C">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ascii="Times New Roman" w:hAnsi="Times New Roman" w:eastAsia="宋体" w:cs="Times New Roman"/>
                <w:bCs/>
                <w:kern w:val="2"/>
                <w:sz w:val="21"/>
                <w:szCs w:val="21"/>
                <w:lang w:val="en-US" w:eastAsia="zh-CN" w:bidi="ar-SA"/>
              </w:rPr>
            </w:pPr>
            <w:r>
              <w:rPr>
                <w:b/>
                <w:bCs w:val="0"/>
                <w:color w:val="auto"/>
                <w:highlight w:val="none"/>
                <w:bdr w:val="single" w:color="000000" w:sz="0" w:space="0"/>
              </w:rPr>
              <w:t xml:space="preserve">6.1.9  </w:t>
            </w:r>
            <w:r>
              <w:rPr>
                <w:rFonts w:hint="eastAsia" w:ascii="黑体" w:hAnsi="黑体" w:eastAsia="黑体" w:cs="黑体"/>
                <w:b/>
                <w:bCs w:val="0"/>
                <w:color w:val="auto"/>
                <w:highlight w:val="none"/>
                <w:bdr w:val="single" w:color="000000" w:sz="0" w:space="0"/>
              </w:rPr>
              <w:t>外保温复合墙的饰面层选用非薄抹灰时，应对由饰面层自重累积作用所产生的变形影响采取构造措施。</w:t>
            </w:r>
          </w:p>
        </w:tc>
      </w:tr>
      <w:tr w14:paraId="752C76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686" w:type="dxa"/>
            <w:shd w:val="clear" w:color="auto" w:fill="auto"/>
            <w:vAlign w:val="top"/>
          </w:tcPr>
          <w:p w14:paraId="5B195AF9">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b/>
                <w:bCs w:val="0"/>
                <w:color w:val="auto"/>
                <w:highlight w:val="none"/>
              </w:rPr>
            </w:pPr>
          </w:p>
        </w:tc>
        <w:tc>
          <w:tcPr>
            <w:tcW w:w="4716" w:type="dxa"/>
            <w:shd w:val="clear" w:color="auto" w:fill="auto"/>
            <w:vAlign w:val="top"/>
          </w:tcPr>
          <w:p w14:paraId="024C30BA">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b/>
                <w:bCs w:val="0"/>
                <w:color w:val="auto"/>
                <w:highlight w:val="none"/>
                <w:bdr w:val="single" w:color="000000" w:sz="0" w:space="0"/>
              </w:rPr>
            </w:pPr>
            <w:r>
              <w:rPr>
                <w:b/>
                <w:color w:val="auto"/>
                <w:highlight w:val="none"/>
                <w:u w:val="single"/>
              </w:rPr>
              <w:t>6.1.9</w:t>
            </w:r>
            <w:r>
              <w:rPr>
                <w:rFonts w:hint="eastAsia"/>
                <w:b/>
                <w:color w:val="auto"/>
                <w:highlight w:val="none"/>
                <w:u w:val="single"/>
                <w:lang w:val="en-US" w:eastAsia="zh-CN"/>
              </w:rPr>
              <w:t>A</w:t>
            </w:r>
            <w:r>
              <w:rPr>
                <w:b/>
                <w:color w:val="auto"/>
                <w:highlight w:val="none"/>
              </w:rPr>
              <w:t xml:space="preserve"> </w:t>
            </w:r>
            <w:r>
              <w:rPr>
                <w:color w:val="auto"/>
                <w:highlight w:val="none"/>
                <w:u w:val="single"/>
              </w:rPr>
              <w:t>外保温复合墙的饰面层选用非薄抹灰时，应对由饰面层自重累积作用所产生的变形影响采取构造措施。</w:t>
            </w:r>
          </w:p>
        </w:tc>
      </w:tr>
      <w:tr w14:paraId="2A4557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686" w:type="dxa"/>
            <w:shd w:val="clear" w:color="auto" w:fill="auto"/>
            <w:vAlign w:val="top"/>
          </w:tcPr>
          <w:p w14:paraId="252BC62F">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b/>
                <w:bCs w:val="0"/>
                <w:color w:val="auto"/>
                <w:highlight w:val="none"/>
              </w:rPr>
            </w:pPr>
            <w:r>
              <w:rPr>
                <w:b/>
                <w:bCs w:val="0"/>
                <w:color w:val="auto"/>
                <w:highlight w:val="none"/>
              </w:rPr>
              <w:t xml:space="preserve">6.1.10  </w:t>
            </w:r>
            <w:r>
              <w:rPr>
                <w:rFonts w:hint="eastAsia" w:ascii="黑体" w:hAnsi="黑体" w:eastAsia="黑体" w:cs="黑体"/>
                <w:b/>
                <w:bCs w:val="0"/>
                <w:color w:val="auto"/>
                <w:highlight w:val="none"/>
              </w:rPr>
              <w:t>内保温复合墙与梁、柱相接触部位，应采取防裂措施。</w:t>
            </w:r>
          </w:p>
        </w:tc>
        <w:tc>
          <w:tcPr>
            <w:tcW w:w="4716" w:type="dxa"/>
            <w:shd w:val="clear" w:color="auto" w:fill="auto"/>
            <w:vAlign w:val="top"/>
          </w:tcPr>
          <w:p w14:paraId="30AC78F0">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b/>
                <w:color w:val="auto"/>
                <w:highlight w:val="none"/>
                <w:u w:val="single"/>
              </w:rPr>
            </w:pPr>
            <w:r>
              <w:rPr>
                <w:b/>
                <w:bCs w:val="0"/>
                <w:color w:val="auto"/>
                <w:highlight w:val="none"/>
                <w:bdr w:val="single" w:color="000000" w:sz="0" w:space="0"/>
              </w:rPr>
              <w:t xml:space="preserve">6.1.10  </w:t>
            </w:r>
            <w:r>
              <w:rPr>
                <w:rFonts w:hint="eastAsia" w:ascii="黑体" w:hAnsi="黑体" w:eastAsia="黑体" w:cs="黑体"/>
                <w:b/>
                <w:bCs w:val="0"/>
                <w:color w:val="auto"/>
                <w:highlight w:val="none"/>
                <w:bdr w:val="single" w:color="000000" w:sz="0" w:space="0"/>
              </w:rPr>
              <w:t>内保温复合墙与梁、柱相接触部位，应采取防裂措施。</w:t>
            </w:r>
          </w:p>
        </w:tc>
      </w:tr>
      <w:tr w14:paraId="2FAD78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686" w:type="dxa"/>
            <w:shd w:val="clear" w:color="auto" w:fill="auto"/>
            <w:vAlign w:val="top"/>
          </w:tcPr>
          <w:p w14:paraId="74F878C2">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b/>
                <w:bCs w:val="0"/>
                <w:color w:val="auto"/>
                <w:highlight w:val="none"/>
              </w:rPr>
            </w:pPr>
          </w:p>
        </w:tc>
        <w:tc>
          <w:tcPr>
            <w:tcW w:w="4716" w:type="dxa"/>
            <w:shd w:val="clear" w:color="auto" w:fill="auto"/>
            <w:vAlign w:val="top"/>
          </w:tcPr>
          <w:p w14:paraId="41B58E3A">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b/>
                <w:bCs w:val="0"/>
                <w:color w:val="auto"/>
                <w:highlight w:val="none"/>
                <w:bdr w:val="single" w:color="000000" w:sz="0" w:space="0"/>
              </w:rPr>
            </w:pPr>
            <w:r>
              <w:rPr>
                <w:b/>
                <w:color w:val="auto"/>
                <w:highlight w:val="none"/>
                <w:u w:val="single"/>
              </w:rPr>
              <w:t>6.1.10</w:t>
            </w:r>
            <w:r>
              <w:rPr>
                <w:rFonts w:hint="eastAsia"/>
                <w:b/>
                <w:color w:val="auto"/>
                <w:highlight w:val="none"/>
                <w:u w:val="single"/>
                <w:lang w:val="en-US" w:eastAsia="zh-CN"/>
              </w:rPr>
              <w:t>A</w:t>
            </w:r>
            <w:r>
              <w:rPr>
                <w:b/>
                <w:color w:val="auto"/>
                <w:highlight w:val="none"/>
                <w:u w:val="none"/>
              </w:rPr>
              <w:t xml:space="preserve"> </w:t>
            </w:r>
            <w:r>
              <w:rPr>
                <w:color w:val="auto"/>
                <w:highlight w:val="none"/>
                <w:u w:val="single"/>
              </w:rPr>
              <w:t>内保温复合墙与梁、柱相接触部位，应采取防裂措施。</w:t>
            </w:r>
          </w:p>
        </w:tc>
      </w:tr>
    </w:tbl>
    <w:p w14:paraId="59296F9E">
      <w:pPr>
        <w:sectPr>
          <w:footerReference r:id="rId3" w:type="default"/>
          <w:pgSz w:w="11906" w:h="16838"/>
          <w:pgMar w:top="1440" w:right="1800" w:bottom="1440" w:left="1800" w:header="851" w:footer="992" w:gutter="0"/>
          <w:pgNumType w:fmt="decimal" w:start="1"/>
          <w:cols w:space="425" w:num="1"/>
          <w:docGrid w:type="lines" w:linePitch="312" w:charSpace="0"/>
        </w:sectPr>
      </w:pPr>
    </w:p>
    <w:tbl>
      <w:tblPr>
        <w:tblStyle w:val="7"/>
        <w:tblW w:w="940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686"/>
        <w:gridCol w:w="4716"/>
      </w:tblGrid>
      <w:tr w14:paraId="414084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Header/>
        </w:trPr>
        <w:tc>
          <w:tcPr>
            <w:tcW w:w="4686" w:type="dxa"/>
            <w:vAlign w:val="top"/>
          </w:tcPr>
          <w:p w14:paraId="38D9AA95">
            <w:pPr>
              <w:spacing w:before="120" w:beforeLines="50" w:after="120" w:afterLines="50"/>
              <w:jc w:val="center"/>
              <w:rPr>
                <w:rFonts w:ascii="Times New Roman" w:hAnsi="Times New Roman"/>
                <w:b/>
                <w:bCs/>
                <w:szCs w:val="21"/>
              </w:rPr>
            </w:pPr>
            <w:r>
              <w:rPr>
                <w:rFonts w:ascii="Times New Roman" w:hAnsi="Times New Roman"/>
                <w:b/>
                <w:bCs/>
                <w:szCs w:val="21"/>
              </w:rPr>
              <w:t>现行《标准》条文</w:t>
            </w:r>
          </w:p>
        </w:tc>
        <w:tc>
          <w:tcPr>
            <w:tcW w:w="4716" w:type="dxa"/>
          </w:tcPr>
          <w:p w14:paraId="593094BD">
            <w:pPr>
              <w:spacing w:before="120" w:beforeLines="50" w:after="120" w:afterLines="50"/>
              <w:jc w:val="center"/>
              <w:rPr>
                <w:rFonts w:ascii="Times New Roman" w:hAnsi="Times New Roman"/>
                <w:b/>
                <w:bCs/>
                <w:szCs w:val="21"/>
              </w:rPr>
            </w:pPr>
            <w:r>
              <w:rPr>
                <w:rFonts w:ascii="Times New Roman" w:hAnsi="Times New Roman"/>
                <w:b/>
                <w:bCs/>
                <w:szCs w:val="21"/>
              </w:rPr>
              <w:t>局部修订征求意见稿</w:t>
            </w:r>
          </w:p>
        </w:tc>
      </w:tr>
      <w:tr w14:paraId="5F2798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686" w:type="dxa"/>
            <w:shd w:val="clear" w:color="auto" w:fill="auto"/>
            <w:vAlign w:val="top"/>
          </w:tcPr>
          <w:p w14:paraId="143F6016">
            <w:pPr>
              <w:spacing w:before="120" w:beforeLines="50" w:after="120" w:afterLines="50"/>
              <w:jc w:val="center"/>
              <w:rPr>
                <w:rFonts w:hint="default" w:ascii="Times New Roman" w:hAnsi="Times New Roman" w:eastAsia="宋体" w:cs="Times New Roman"/>
                <w:b/>
                <w:bCs/>
                <w:kern w:val="2"/>
                <w:sz w:val="21"/>
                <w:szCs w:val="21"/>
                <w:lang w:val="en-US" w:eastAsia="zh-CN" w:bidi="ar-SA"/>
              </w:rPr>
            </w:pPr>
            <w:r>
              <w:rPr>
                <w:rFonts w:hint="eastAsia"/>
                <w:b/>
                <w:bCs/>
                <w:szCs w:val="21"/>
                <w:lang w:val="en-US" w:eastAsia="zh-CN"/>
              </w:rPr>
              <w:t>7 施  工</w:t>
            </w:r>
          </w:p>
        </w:tc>
        <w:tc>
          <w:tcPr>
            <w:tcW w:w="4716" w:type="dxa"/>
            <w:shd w:val="clear" w:color="auto" w:fill="auto"/>
            <w:vAlign w:val="top"/>
          </w:tcPr>
          <w:p w14:paraId="267BF8C5">
            <w:pPr>
              <w:spacing w:before="120" w:beforeLines="50" w:after="120" w:afterLines="50"/>
              <w:jc w:val="center"/>
              <w:rPr>
                <w:rFonts w:hint="default" w:ascii="Times New Roman" w:hAnsi="Times New Roman" w:eastAsia="宋体" w:cs="Times New Roman"/>
                <w:b/>
                <w:bCs/>
                <w:kern w:val="2"/>
                <w:sz w:val="21"/>
                <w:szCs w:val="21"/>
                <w:lang w:val="en-US" w:eastAsia="zh-CN" w:bidi="ar-SA"/>
              </w:rPr>
            </w:pPr>
            <w:r>
              <w:rPr>
                <w:rFonts w:hint="eastAsia"/>
                <w:b/>
                <w:bCs/>
                <w:szCs w:val="21"/>
                <w:lang w:val="en-US" w:eastAsia="zh-CN"/>
              </w:rPr>
              <w:t>7 施  工</w:t>
            </w:r>
          </w:p>
        </w:tc>
      </w:tr>
      <w:tr w14:paraId="44C615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686" w:type="dxa"/>
            <w:shd w:val="clear" w:color="auto" w:fill="auto"/>
            <w:vAlign w:val="top"/>
          </w:tcPr>
          <w:p w14:paraId="26314736">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color w:val="auto"/>
                <w:highlight w:val="none"/>
              </w:rPr>
            </w:pPr>
            <w:r>
              <w:rPr>
                <w:b/>
                <w:bCs/>
                <w:color w:val="auto"/>
                <w:highlight w:val="none"/>
              </w:rPr>
              <w:t xml:space="preserve">7.2.1  </w:t>
            </w:r>
            <w:r>
              <w:rPr>
                <w:color w:val="auto"/>
                <w:highlight w:val="none"/>
              </w:rPr>
              <w:t>块体砌筑应符合下列规定：</w:t>
            </w:r>
          </w:p>
          <w:p w14:paraId="573ACC7A">
            <w:pPr>
              <w:keepNext w:val="0"/>
              <w:keepLines w:val="0"/>
              <w:pageBreakBefore w:val="0"/>
              <w:widowControl w:val="0"/>
              <w:kinsoku/>
              <w:wordWrap/>
              <w:overflowPunct/>
              <w:topLinePunct w:val="0"/>
              <w:autoSpaceDE/>
              <w:autoSpaceDN/>
              <w:bidi w:val="0"/>
              <w:adjustRightInd/>
              <w:snapToGrid/>
              <w:spacing w:line="360" w:lineRule="auto"/>
              <w:ind w:firstLine="417" w:firstLineChars="198"/>
              <w:textAlignment w:val="auto"/>
              <w:outlineLvl w:val="9"/>
              <w:rPr>
                <w:rFonts w:ascii="Times New Roman" w:hAnsi="Times New Roman" w:eastAsia="宋体" w:cs="Times New Roman"/>
                <w:bCs/>
                <w:kern w:val="2"/>
                <w:sz w:val="21"/>
                <w:szCs w:val="21"/>
                <w:lang w:val="en-US" w:eastAsia="zh-CN" w:bidi="ar-SA"/>
              </w:rPr>
            </w:pPr>
            <w:r>
              <w:rPr>
                <w:b/>
                <w:color w:val="auto"/>
                <w:highlight w:val="none"/>
              </w:rPr>
              <w:t xml:space="preserve">3  </w:t>
            </w:r>
            <w:r>
              <w:rPr>
                <w:rFonts w:hint="eastAsia"/>
                <w:color w:val="auto"/>
                <w:highlight w:val="none"/>
              </w:rPr>
              <w:t>烧结块体用普通砂浆砌筑前应预先浇水湿润；非烧结块体砌筑前不宜浇水湿润，当施工环境十分干燥时，其表面可适当洒水；</w:t>
            </w:r>
          </w:p>
        </w:tc>
        <w:tc>
          <w:tcPr>
            <w:tcW w:w="4716" w:type="dxa"/>
            <w:shd w:val="clear" w:color="auto" w:fill="auto"/>
            <w:vAlign w:val="top"/>
          </w:tcPr>
          <w:p w14:paraId="7DBB116D">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color w:val="auto"/>
                <w:highlight w:val="none"/>
              </w:rPr>
            </w:pPr>
            <w:r>
              <w:rPr>
                <w:b/>
                <w:bCs/>
                <w:color w:val="auto"/>
                <w:highlight w:val="none"/>
              </w:rPr>
              <w:t xml:space="preserve">7.2.1  </w:t>
            </w:r>
            <w:r>
              <w:rPr>
                <w:color w:val="auto"/>
                <w:highlight w:val="none"/>
              </w:rPr>
              <w:t>块体砌筑应符合下列规定：</w:t>
            </w:r>
          </w:p>
          <w:p w14:paraId="4B13D327">
            <w:pPr>
              <w:keepNext w:val="0"/>
              <w:keepLines w:val="0"/>
              <w:pageBreakBefore w:val="0"/>
              <w:widowControl w:val="0"/>
              <w:kinsoku/>
              <w:wordWrap/>
              <w:overflowPunct/>
              <w:topLinePunct w:val="0"/>
              <w:autoSpaceDE/>
              <w:autoSpaceDN/>
              <w:bidi w:val="0"/>
              <w:adjustRightInd/>
              <w:snapToGrid/>
              <w:spacing w:line="360" w:lineRule="auto"/>
              <w:ind w:firstLine="417" w:firstLineChars="198"/>
              <w:textAlignment w:val="auto"/>
              <w:outlineLvl w:val="9"/>
              <w:rPr>
                <w:rFonts w:ascii="Times New Roman" w:hAnsi="Times New Roman" w:eastAsia="宋体" w:cs="Times New Roman"/>
                <w:bCs/>
                <w:kern w:val="2"/>
                <w:sz w:val="21"/>
                <w:szCs w:val="21"/>
                <w:lang w:val="en-US" w:eastAsia="zh-CN" w:bidi="ar-SA"/>
              </w:rPr>
            </w:pPr>
            <w:r>
              <w:rPr>
                <w:b/>
                <w:color w:val="auto"/>
                <w:highlight w:val="none"/>
              </w:rPr>
              <w:t xml:space="preserve">3  </w:t>
            </w:r>
            <w:r>
              <w:rPr>
                <w:color w:val="auto"/>
                <w:highlight w:val="none"/>
              </w:rPr>
              <w:t>烧结块体</w:t>
            </w:r>
            <w:r>
              <w:rPr>
                <w:color w:val="auto"/>
                <w:highlight w:val="none"/>
                <w:bdr w:val="single" w:color="000000" w:sz="4" w:space="0"/>
              </w:rPr>
              <w:t>材料</w:t>
            </w:r>
            <w:r>
              <w:rPr>
                <w:rFonts w:hint="eastAsia"/>
                <w:color w:val="auto"/>
                <w:highlight w:val="none"/>
              </w:rPr>
              <w:t>用普通砂浆</w:t>
            </w:r>
            <w:r>
              <w:rPr>
                <w:color w:val="auto"/>
                <w:highlight w:val="none"/>
              </w:rPr>
              <w:t>砌筑前应预先浇水湿润；非烧结块体</w:t>
            </w:r>
            <w:r>
              <w:rPr>
                <w:color w:val="auto"/>
                <w:highlight w:val="none"/>
                <w:bdr w:val="single" w:color="000000" w:sz="4" w:space="0"/>
              </w:rPr>
              <w:t>材料</w:t>
            </w:r>
            <w:r>
              <w:rPr>
                <w:color w:val="auto"/>
                <w:highlight w:val="none"/>
              </w:rPr>
              <w:t>砌筑前不宜浇水湿润，当施工环境十分干燥时，其表面可适当洒水；</w:t>
            </w:r>
          </w:p>
        </w:tc>
      </w:tr>
      <w:tr w14:paraId="070F77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686" w:type="dxa"/>
            <w:shd w:val="clear" w:color="auto" w:fill="auto"/>
            <w:vAlign w:val="center"/>
          </w:tcPr>
          <w:p w14:paraId="4485624B">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color w:val="auto"/>
                <w:highlight w:val="none"/>
              </w:rPr>
            </w:pPr>
            <w:r>
              <w:rPr>
                <w:b/>
                <w:bCs/>
                <w:color w:val="auto"/>
                <w:highlight w:val="none"/>
              </w:rPr>
              <w:t xml:space="preserve">7.2.2  </w:t>
            </w:r>
            <w:r>
              <w:rPr>
                <w:bCs/>
                <w:color w:val="auto"/>
                <w:highlight w:val="none"/>
              </w:rPr>
              <w:t>砂浆</w:t>
            </w:r>
            <w:r>
              <w:rPr>
                <w:color w:val="auto"/>
                <w:highlight w:val="none"/>
              </w:rPr>
              <w:t>应符合下列规定：</w:t>
            </w:r>
          </w:p>
          <w:p w14:paraId="3B801FAC">
            <w:pPr>
              <w:keepNext w:val="0"/>
              <w:keepLines w:val="0"/>
              <w:pageBreakBefore w:val="0"/>
              <w:widowControl w:val="0"/>
              <w:kinsoku/>
              <w:wordWrap/>
              <w:overflowPunct/>
              <w:topLinePunct w:val="0"/>
              <w:autoSpaceDE/>
              <w:autoSpaceDN/>
              <w:bidi w:val="0"/>
              <w:adjustRightInd/>
              <w:snapToGrid/>
              <w:spacing w:line="360" w:lineRule="auto"/>
              <w:ind w:firstLine="468"/>
              <w:textAlignment w:val="auto"/>
              <w:outlineLvl w:val="9"/>
              <w:rPr>
                <w:rFonts w:hint="eastAsia" w:ascii="Times New Roman" w:hAnsi="Times New Roman" w:eastAsia="宋体" w:cs="Times New Roman"/>
                <w:bCs/>
                <w:kern w:val="2"/>
                <w:sz w:val="21"/>
                <w:szCs w:val="21"/>
                <w:lang w:val="en-US" w:eastAsia="zh-CN" w:bidi="ar-SA"/>
              </w:rPr>
            </w:pPr>
            <w:r>
              <w:rPr>
                <w:b/>
                <w:color w:val="auto"/>
                <w:highlight w:val="none"/>
              </w:rPr>
              <w:t>3</w:t>
            </w:r>
            <w:r>
              <w:rPr>
                <w:color w:val="auto"/>
                <w:highlight w:val="none"/>
              </w:rPr>
              <w:t xml:space="preserve"> 砂浆中掺入的粉煤灰，其等级及掺量应符合现行行业标准《粉煤灰在混凝土和砂浆中应用技术规程》JGJ 28的有关规定</w:t>
            </w:r>
            <w:r>
              <w:rPr>
                <w:rFonts w:hint="eastAsia"/>
                <w:color w:val="auto"/>
                <w:highlight w:val="none"/>
                <w:lang w:eastAsia="zh-CN"/>
              </w:rPr>
              <w:t>；</w:t>
            </w:r>
          </w:p>
        </w:tc>
        <w:tc>
          <w:tcPr>
            <w:tcW w:w="4716" w:type="dxa"/>
            <w:shd w:val="clear" w:color="auto" w:fill="auto"/>
            <w:vAlign w:val="center"/>
          </w:tcPr>
          <w:p w14:paraId="6EA71135">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color w:val="auto"/>
                <w:highlight w:val="none"/>
              </w:rPr>
            </w:pPr>
            <w:r>
              <w:rPr>
                <w:b/>
                <w:bCs/>
                <w:color w:val="auto"/>
                <w:highlight w:val="none"/>
              </w:rPr>
              <w:t xml:space="preserve">7.2.2  </w:t>
            </w:r>
            <w:r>
              <w:rPr>
                <w:bCs/>
                <w:color w:val="auto"/>
                <w:highlight w:val="none"/>
              </w:rPr>
              <w:t>砂浆</w:t>
            </w:r>
            <w:r>
              <w:rPr>
                <w:color w:val="auto"/>
                <w:highlight w:val="none"/>
              </w:rPr>
              <w:t>应符合下列规定：</w:t>
            </w:r>
          </w:p>
          <w:p w14:paraId="0E3DBEAD">
            <w:pPr>
              <w:keepNext w:val="0"/>
              <w:keepLines w:val="0"/>
              <w:pageBreakBefore w:val="0"/>
              <w:widowControl w:val="0"/>
              <w:kinsoku/>
              <w:wordWrap/>
              <w:overflowPunct/>
              <w:topLinePunct w:val="0"/>
              <w:autoSpaceDE/>
              <w:autoSpaceDN/>
              <w:bidi w:val="0"/>
              <w:adjustRightInd/>
              <w:snapToGrid/>
              <w:spacing w:line="360" w:lineRule="auto"/>
              <w:ind w:firstLine="468"/>
              <w:textAlignment w:val="auto"/>
              <w:outlineLvl w:val="9"/>
              <w:rPr>
                <w:rFonts w:ascii="Times New Roman" w:hAnsi="Times New Roman" w:eastAsia="宋体" w:cs="Times New Roman"/>
                <w:bCs/>
                <w:kern w:val="2"/>
                <w:sz w:val="21"/>
                <w:szCs w:val="21"/>
                <w:lang w:val="en-US" w:eastAsia="zh-CN" w:bidi="ar-SA"/>
              </w:rPr>
            </w:pPr>
            <w:r>
              <w:rPr>
                <w:b/>
                <w:color w:val="auto"/>
                <w:highlight w:val="none"/>
              </w:rPr>
              <w:t>3</w:t>
            </w:r>
            <w:r>
              <w:rPr>
                <w:color w:val="auto"/>
                <w:highlight w:val="none"/>
              </w:rPr>
              <w:t xml:space="preserve"> 砂浆中掺入的粉煤灰，其等级及掺量应符合现行</w:t>
            </w:r>
            <w:r>
              <w:rPr>
                <w:rFonts w:hint="eastAsia"/>
                <w:color w:val="auto"/>
                <w:highlight w:val="none"/>
                <w:u w:val="single"/>
                <w:lang w:val="en-US" w:eastAsia="zh-CN"/>
              </w:rPr>
              <w:t>国家现行</w:t>
            </w:r>
            <w:r>
              <w:rPr>
                <w:color w:val="auto"/>
                <w:highlight w:val="none"/>
                <w:bdr w:val="single" w:sz="0" w:space="0"/>
              </w:rPr>
              <w:t>行业</w:t>
            </w:r>
            <w:r>
              <w:rPr>
                <w:color w:val="auto"/>
                <w:highlight w:val="none"/>
              </w:rPr>
              <w:t>标准</w:t>
            </w:r>
            <w:r>
              <w:rPr>
                <w:color w:val="auto"/>
                <w:highlight w:val="none"/>
                <w:bdr w:val="single" w:color="000000" w:sz="4" w:space="0"/>
              </w:rPr>
              <w:t>《粉煤灰在混凝土和砂浆中应用技术规程》JGJ 28</w:t>
            </w:r>
            <w:r>
              <w:rPr>
                <w:color w:val="auto"/>
                <w:highlight w:val="none"/>
              </w:rPr>
              <w:t>的有关规定；</w:t>
            </w:r>
          </w:p>
        </w:tc>
      </w:tr>
      <w:tr w14:paraId="03AF5C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686" w:type="dxa"/>
            <w:shd w:val="clear" w:color="auto" w:fill="auto"/>
            <w:vAlign w:val="center"/>
          </w:tcPr>
          <w:p w14:paraId="27D9C33E">
            <w:pPr>
              <w:keepNext w:val="0"/>
              <w:keepLines w:val="0"/>
              <w:pageBreakBefore w:val="0"/>
              <w:widowControl w:val="0"/>
              <w:kinsoku/>
              <w:wordWrap/>
              <w:overflowPunct/>
              <w:topLinePunct w:val="0"/>
              <w:autoSpaceDE/>
              <w:autoSpaceDN/>
              <w:bidi w:val="0"/>
              <w:adjustRightInd/>
              <w:snapToGrid/>
              <w:spacing w:line="360" w:lineRule="auto"/>
              <w:ind w:firstLine="468" w:firstLineChars="0"/>
              <w:textAlignment w:val="auto"/>
              <w:outlineLvl w:val="9"/>
              <w:rPr>
                <w:rFonts w:ascii="Times New Roman" w:hAnsi="Times New Roman" w:eastAsia="宋体" w:cs="Times New Roman"/>
                <w:b/>
                <w:color w:val="auto"/>
                <w:kern w:val="2"/>
                <w:sz w:val="21"/>
                <w:szCs w:val="21"/>
                <w:highlight w:val="none"/>
                <w:lang w:val="en-US" w:eastAsia="zh-CN" w:bidi="ar-SA"/>
              </w:rPr>
            </w:pPr>
            <w:r>
              <w:rPr>
                <w:b/>
                <w:color w:val="auto"/>
                <w:highlight w:val="none"/>
              </w:rPr>
              <w:t xml:space="preserve">7.2.3  </w:t>
            </w:r>
            <w:r>
              <w:rPr>
                <w:color w:val="auto"/>
                <w:highlight w:val="none"/>
              </w:rPr>
              <w:t>灌孔混凝土的配制及性能应符合现行行业标准《混凝土小型空心砌块灌孔混凝土》JC 861的有关规定。</w:t>
            </w:r>
          </w:p>
        </w:tc>
        <w:tc>
          <w:tcPr>
            <w:tcW w:w="4716" w:type="dxa"/>
            <w:shd w:val="clear" w:color="auto" w:fill="auto"/>
            <w:vAlign w:val="center"/>
          </w:tcPr>
          <w:p w14:paraId="4470D9DE">
            <w:pPr>
              <w:keepNext w:val="0"/>
              <w:keepLines w:val="0"/>
              <w:pageBreakBefore w:val="0"/>
              <w:widowControl w:val="0"/>
              <w:kinsoku/>
              <w:wordWrap/>
              <w:overflowPunct/>
              <w:topLinePunct w:val="0"/>
              <w:autoSpaceDE/>
              <w:autoSpaceDN/>
              <w:bidi w:val="0"/>
              <w:adjustRightInd/>
              <w:snapToGrid/>
              <w:spacing w:line="360" w:lineRule="auto"/>
              <w:ind w:firstLine="468"/>
              <w:textAlignment w:val="auto"/>
              <w:outlineLvl w:val="9"/>
              <w:rPr>
                <w:b/>
                <w:color w:val="auto"/>
                <w:highlight w:val="none"/>
              </w:rPr>
            </w:pPr>
            <w:r>
              <w:rPr>
                <w:b/>
                <w:color w:val="auto"/>
                <w:highlight w:val="none"/>
              </w:rPr>
              <w:t xml:space="preserve">7.2.3  </w:t>
            </w:r>
            <w:r>
              <w:rPr>
                <w:color w:val="auto"/>
                <w:highlight w:val="none"/>
              </w:rPr>
              <w:t>灌孔混凝土的配制及性能应符合现行</w:t>
            </w:r>
            <w:r>
              <w:rPr>
                <w:rFonts w:hint="eastAsia"/>
                <w:color w:val="auto"/>
                <w:highlight w:val="none"/>
                <w:u w:val="single"/>
                <w:lang w:val="en-US" w:eastAsia="zh-CN"/>
              </w:rPr>
              <w:t>国家现行</w:t>
            </w:r>
            <w:r>
              <w:rPr>
                <w:color w:val="auto"/>
                <w:highlight w:val="none"/>
                <w:bdr w:val="single" w:sz="0" w:space="0"/>
              </w:rPr>
              <w:t>行业</w:t>
            </w:r>
            <w:r>
              <w:rPr>
                <w:color w:val="auto"/>
                <w:highlight w:val="none"/>
              </w:rPr>
              <w:t>标准</w:t>
            </w:r>
            <w:r>
              <w:rPr>
                <w:color w:val="auto"/>
                <w:highlight w:val="none"/>
                <w:bdr w:val="single" w:color="000000" w:sz="4" w:space="0"/>
              </w:rPr>
              <w:t>《混凝土小型空心砌块灌孔混凝土》JC 861</w:t>
            </w:r>
            <w:r>
              <w:rPr>
                <w:color w:val="auto"/>
                <w:highlight w:val="none"/>
              </w:rPr>
              <w:t>的有关规定。</w:t>
            </w:r>
          </w:p>
        </w:tc>
      </w:tr>
    </w:tbl>
    <w:p w14:paraId="67DC9E56">
      <w:pPr>
        <w:sectPr>
          <w:pgSz w:w="11906" w:h="16838"/>
          <w:pgMar w:top="1440" w:right="1800" w:bottom="1440" w:left="1800" w:header="851" w:footer="992" w:gutter="0"/>
          <w:pgNumType w:fmt="decimal"/>
          <w:cols w:space="425" w:num="1"/>
          <w:docGrid w:type="lines" w:linePitch="312" w:charSpace="0"/>
        </w:sectPr>
      </w:pPr>
    </w:p>
    <w:tbl>
      <w:tblPr>
        <w:tblStyle w:val="7"/>
        <w:tblW w:w="940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686"/>
        <w:gridCol w:w="4716"/>
      </w:tblGrid>
      <w:tr w14:paraId="64BE75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Header/>
        </w:trPr>
        <w:tc>
          <w:tcPr>
            <w:tcW w:w="4686" w:type="dxa"/>
            <w:vAlign w:val="center"/>
          </w:tcPr>
          <w:p w14:paraId="18C966EF">
            <w:pPr>
              <w:jc w:val="center"/>
              <w:rPr>
                <w:rFonts w:ascii="Times New Roman" w:hAnsi="Times New Roman"/>
                <w:b/>
                <w:bCs/>
                <w:szCs w:val="21"/>
              </w:rPr>
            </w:pPr>
            <w:r>
              <w:br w:type="page"/>
            </w:r>
            <w:r>
              <w:rPr>
                <w:rFonts w:ascii="Times New Roman" w:hAnsi="Times New Roman"/>
                <w:b/>
                <w:bCs/>
                <w:szCs w:val="21"/>
              </w:rPr>
              <w:t>现行《标准》条文</w:t>
            </w:r>
          </w:p>
        </w:tc>
        <w:tc>
          <w:tcPr>
            <w:tcW w:w="4716" w:type="dxa"/>
          </w:tcPr>
          <w:p w14:paraId="3BEE2A38">
            <w:pPr>
              <w:spacing w:before="120" w:beforeLines="50" w:after="120" w:afterLines="50"/>
              <w:jc w:val="center"/>
              <w:rPr>
                <w:rFonts w:ascii="Times New Roman" w:hAnsi="Times New Roman"/>
                <w:b/>
                <w:bCs/>
                <w:szCs w:val="21"/>
              </w:rPr>
            </w:pPr>
            <w:r>
              <w:rPr>
                <w:rFonts w:ascii="Times New Roman" w:hAnsi="Times New Roman"/>
                <w:b/>
                <w:bCs/>
                <w:szCs w:val="21"/>
              </w:rPr>
              <w:t>局部修订征求意见稿</w:t>
            </w:r>
          </w:p>
        </w:tc>
      </w:tr>
      <w:tr w14:paraId="199E1E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686" w:type="dxa"/>
            <w:shd w:val="clear" w:color="auto" w:fill="auto"/>
            <w:vAlign w:val="top"/>
          </w:tcPr>
          <w:p w14:paraId="123EBFC6">
            <w:pPr>
              <w:spacing w:before="120" w:beforeLines="50" w:after="120" w:afterLines="50"/>
              <w:jc w:val="center"/>
              <w:rPr>
                <w:rFonts w:hint="default" w:ascii="Times New Roman" w:hAnsi="Times New Roman" w:eastAsia="宋体" w:cs="Times New Roman"/>
                <w:b/>
                <w:bCs/>
                <w:kern w:val="2"/>
                <w:sz w:val="21"/>
                <w:szCs w:val="21"/>
                <w:lang w:val="en-US" w:eastAsia="zh-CN" w:bidi="ar-SA"/>
              </w:rPr>
            </w:pPr>
            <w:r>
              <w:rPr>
                <w:rFonts w:hint="eastAsia"/>
                <w:b/>
                <w:bCs/>
                <w:szCs w:val="21"/>
                <w:lang w:val="en-US" w:eastAsia="zh-CN"/>
              </w:rPr>
              <w:t>8 验  收</w:t>
            </w:r>
          </w:p>
        </w:tc>
        <w:tc>
          <w:tcPr>
            <w:tcW w:w="4716" w:type="dxa"/>
            <w:shd w:val="clear" w:color="auto" w:fill="auto"/>
            <w:vAlign w:val="top"/>
          </w:tcPr>
          <w:p w14:paraId="35A721FD">
            <w:pPr>
              <w:spacing w:before="120" w:beforeLines="50" w:after="120" w:afterLines="50"/>
              <w:jc w:val="center"/>
              <w:rPr>
                <w:rFonts w:hint="default" w:ascii="Times New Roman" w:hAnsi="Times New Roman" w:eastAsia="宋体" w:cs="Times New Roman"/>
                <w:b/>
                <w:bCs/>
                <w:kern w:val="2"/>
                <w:sz w:val="21"/>
                <w:szCs w:val="21"/>
                <w:lang w:val="en-US" w:eastAsia="zh-CN" w:bidi="ar-SA"/>
              </w:rPr>
            </w:pPr>
            <w:r>
              <w:rPr>
                <w:rFonts w:hint="eastAsia"/>
                <w:b/>
                <w:bCs/>
                <w:szCs w:val="21"/>
                <w:lang w:val="en-US" w:eastAsia="zh-CN"/>
              </w:rPr>
              <w:t>8  验  收</w:t>
            </w:r>
          </w:p>
        </w:tc>
      </w:tr>
      <w:tr w14:paraId="305669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686" w:type="dxa"/>
            <w:shd w:val="clear" w:color="auto" w:fill="auto"/>
            <w:vAlign w:val="top"/>
          </w:tcPr>
          <w:p w14:paraId="5E0864C8">
            <w:pPr>
              <w:keepNext w:val="0"/>
              <w:keepLines w:val="0"/>
              <w:pageBreakBefore w:val="0"/>
              <w:widowControl w:val="0"/>
              <w:kinsoku/>
              <w:wordWrap/>
              <w:overflowPunct/>
              <w:topLinePunct w:val="0"/>
              <w:autoSpaceDE/>
              <w:autoSpaceDN/>
              <w:bidi w:val="0"/>
              <w:adjustRightInd/>
              <w:snapToGrid/>
              <w:spacing w:line="360" w:lineRule="auto"/>
              <w:textAlignment w:val="auto"/>
              <w:rPr>
                <w:rFonts w:ascii="Times New Roman" w:hAnsi="Times New Roman" w:eastAsia="宋体" w:cs="Times New Roman"/>
                <w:bCs/>
                <w:kern w:val="2"/>
                <w:sz w:val="21"/>
                <w:szCs w:val="21"/>
                <w:lang w:val="en-US" w:eastAsia="zh-CN" w:bidi="ar-SA"/>
              </w:rPr>
            </w:pPr>
            <w:r>
              <w:rPr>
                <w:b/>
                <w:bCs/>
                <w:color w:val="auto"/>
                <w:highlight w:val="none"/>
              </w:rPr>
              <w:t xml:space="preserve">8.1.1  </w:t>
            </w:r>
            <w:r>
              <w:rPr>
                <w:color w:val="auto"/>
                <w:highlight w:val="none"/>
              </w:rPr>
              <w:t>墙体工程验收应符合现行国家标准《建筑工程施工质量验收统一标准》GB 50300及相关墙体材料应用技术标准的规定。</w:t>
            </w:r>
          </w:p>
        </w:tc>
        <w:tc>
          <w:tcPr>
            <w:tcW w:w="4716" w:type="dxa"/>
            <w:shd w:val="clear" w:color="auto" w:fill="auto"/>
            <w:vAlign w:val="top"/>
          </w:tcPr>
          <w:p w14:paraId="684AF836">
            <w:pPr>
              <w:keepNext w:val="0"/>
              <w:keepLines w:val="0"/>
              <w:pageBreakBefore w:val="0"/>
              <w:widowControl w:val="0"/>
              <w:kinsoku/>
              <w:wordWrap/>
              <w:overflowPunct/>
              <w:topLinePunct w:val="0"/>
              <w:autoSpaceDE/>
              <w:autoSpaceDN/>
              <w:bidi w:val="0"/>
              <w:adjustRightInd/>
              <w:snapToGrid/>
              <w:spacing w:line="360" w:lineRule="auto"/>
              <w:textAlignment w:val="auto"/>
              <w:rPr>
                <w:rFonts w:ascii="Times New Roman" w:hAnsi="Times New Roman" w:eastAsia="宋体" w:cs="Times New Roman"/>
                <w:bCs/>
                <w:kern w:val="2"/>
                <w:sz w:val="21"/>
                <w:szCs w:val="21"/>
                <w:lang w:val="en-US" w:eastAsia="zh-CN" w:bidi="ar-SA"/>
              </w:rPr>
            </w:pPr>
            <w:r>
              <w:rPr>
                <w:b/>
                <w:bCs/>
                <w:color w:val="auto"/>
                <w:highlight w:val="none"/>
              </w:rPr>
              <w:t xml:space="preserve">8.1.1  </w:t>
            </w:r>
            <w:r>
              <w:rPr>
                <w:color w:val="auto"/>
                <w:highlight w:val="none"/>
              </w:rPr>
              <w:t>墙体工程验收应符合现行国家标准</w:t>
            </w:r>
            <w:r>
              <w:rPr>
                <w:rFonts w:hint="eastAsia"/>
                <w:color w:val="auto"/>
                <w:highlight w:val="none"/>
                <w:u w:val="single"/>
              </w:rPr>
              <w:t>《建筑与市政工程施工质量控制通用规范》GB 55032</w:t>
            </w:r>
            <w:r>
              <w:rPr>
                <w:rFonts w:hint="eastAsia"/>
                <w:color w:val="auto"/>
                <w:highlight w:val="none"/>
                <w:u w:val="single"/>
                <w:lang w:val="en-US" w:eastAsia="zh-CN"/>
              </w:rPr>
              <w:t>和</w:t>
            </w:r>
            <w:r>
              <w:rPr>
                <w:color w:val="auto"/>
                <w:highlight w:val="none"/>
              </w:rPr>
              <w:t>《建筑工程施工质量验收统一标准》GB 50300及相关墙体材料应用技术标准的规定。</w:t>
            </w:r>
          </w:p>
        </w:tc>
      </w:tr>
      <w:tr w14:paraId="7943BE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686" w:type="dxa"/>
            <w:shd w:val="clear" w:color="auto" w:fill="auto"/>
            <w:vAlign w:val="center"/>
          </w:tcPr>
          <w:p w14:paraId="45E87A8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bCs/>
                <w:kern w:val="2"/>
                <w:sz w:val="21"/>
                <w:szCs w:val="21"/>
                <w:lang w:val="en-US" w:eastAsia="zh-CN" w:bidi="ar-SA"/>
              </w:rPr>
            </w:pPr>
            <w:r>
              <w:rPr>
                <w:b/>
                <w:bCs/>
                <w:color w:val="auto"/>
                <w:highlight w:val="none"/>
              </w:rPr>
              <w:t xml:space="preserve">8.1.3  </w:t>
            </w:r>
            <w:r>
              <w:rPr>
                <w:color w:val="auto"/>
                <w:highlight w:val="none"/>
              </w:rPr>
              <w:t>建设方应验收材料及配件设计使用寿命期限后的维修或更换措施设计文件。</w:t>
            </w:r>
          </w:p>
        </w:tc>
        <w:tc>
          <w:tcPr>
            <w:tcW w:w="4716" w:type="dxa"/>
            <w:shd w:val="clear" w:color="auto" w:fill="auto"/>
            <w:vAlign w:val="center"/>
          </w:tcPr>
          <w:p w14:paraId="6752F2DB">
            <w:pPr>
              <w:keepNext w:val="0"/>
              <w:keepLines w:val="0"/>
              <w:pageBreakBefore w:val="0"/>
              <w:widowControl w:val="0"/>
              <w:kinsoku/>
              <w:wordWrap/>
              <w:overflowPunct/>
              <w:topLinePunct w:val="0"/>
              <w:autoSpaceDE/>
              <w:autoSpaceDN/>
              <w:bidi w:val="0"/>
              <w:adjustRightInd/>
              <w:snapToGrid/>
              <w:spacing w:line="360" w:lineRule="auto"/>
              <w:textAlignment w:val="auto"/>
              <w:rPr>
                <w:rFonts w:ascii="Times New Roman" w:hAnsi="Times New Roman" w:eastAsia="宋体" w:cs="Times New Roman"/>
                <w:bCs/>
                <w:kern w:val="2"/>
                <w:sz w:val="21"/>
                <w:szCs w:val="21"/>
                <w:lang w:val="en-US" w:eastAsia="zh-CN" w:bidi="ar-SA"/>
              </w:rPr>
            </w:pPr>
            <w:r>
              <w:rPr>
                <w:b/>
                <w:bCs/>
                <w:color w:val="auto"/>
                <w:highlight w:val="none"/>
              </w:rPr>
              <w:t xml:space="preserve">8.1.3  </w:t>
            </w:r>
            <w:r>
              <w:rPr>
                <w:color w:val="auto"/>
                <w:highlight w:val="none"/>
              </w:rPr>
              <w:t>建设方应验收材料及配件设计</w:t>
            </w:r>
            <w:r>
              <w:rPr>
                <w:color w:val="auto"/>
                <w:highlight w:val="none"/>
                <w:bdr w:val="single" w:color="000000" w:sz="4" w:space="0"/>
              </w:rPr>
              <w:t>使用寿命</w:t>
            </w:r>
            <w:r>
              <w:rPr>
                <w:rFonts w:hint="eastAsia"/>
                <w:color w:val="auto"/>
                <w:highlight w:val="none"/>
                <w:u w:val="single"/>
                <w:lang w:val="en-US" w:eastAsia="zh-CN"/>
              </w:rPr>
              <w:t>工作年限</w:t>
            </w:r>
            <w:r>
              <w:rPr>
                <w:color w:val="auto"/>
                <w:highlight w:val="none"/>
              </w:rPr>
              <w:t>期限后的维修或更换措施设计文件。</w:t>
            </w:r>
          </w:p>
        </w:tc>
      </w:tr>
    </w:tbl>
    <w:p w14:paraId="7197441F">
      <w:r>
        <w:br w:type="page"/>
      </w:r>
    </w:p>
    <w:tbl>
      <w:tblPr>
        <w:tblStyle w:val="7"/>
        <w:tblW w:w="940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686"/>
        <w:gridCol w:w="4716"/>
      </w:tblGrid>
      <w:tr w14:paraId="716D80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Header/>
        </w:trPr>
        <w:tc>
          <w:tcPr>
            <w:tcW w:w="4686" w:type="dxa"/>
            <w:vAlign w:val="top"/>
          </w:tcPr>
          <w:p w14:paraId="280AD8BF">
            <w:pPr>
              <w:spacing w:before="120" w:beforeLines="50" w:after="120" w:afterLines="50"/>
              <w:jc w:val="center"/>
              <w:rPr>
                <w:rFonts w:ascii="Times New Roman" w:hAnsi="Times New Roman"/>
                <w:b/>
                <w:bCs/>
                <w:szCs w:val="21"/>
              </w:rPr>
            </w:pPr>
            <w:r>
              <w:rPr>
                <w:rFonts w:ascii="Times New Roman" w:hAnsi="Times New Roman"/>
                <w:b/>
                <w:bCs/>
                <w:szCs w:val="21"/>
              </w:rPr>
              <w:t>现行《标准》条文</w:t>
            </w:r>
          </w:p>
        </w:tc>
        <w:tc>
          <w:tcPr>
            <w:tcW w:w="4716" w:type="dxa"/>
          </w:tcPr>
          <w:p w14:paraId="22621FD3">
            <w:pPr>
              <w:spacing w:before="120" w:beforeLines="50" w:after="120" w:afterLines="50"/>
              <w:jc w:val="center"/>
              <w:rPr>
                <w:rFonts w:ascii="Times New Roman" w:hAnsi="Times New Roman"/>
                <w:b/>
                <w:bCs/>
                <w:szCs w:val="21"/>
              </w:rPr>
            </w:pPr>
            <w:r>
              <w:rPr>
                <w:rFonts w:ascii="Times New Roman" w:hAnsi="Times New Roman"/>
                <w:b/>
                <w:bCs/>
                <w:szCs w:val="21"/>
              </w:rPr>
              <w:t>局部修订征求意见稿</w:t>
            </w:r>
          </w:p>
        </w:tc>
      </w:tr>
      <w:tr w14:paraId="7FE915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686" w:type="dxa"/>
            <w:shd w:val="clear" w:color="auto" w:fill="auto"/>
            <w:vAlign w:val="top"/>
          </w:tcPr>
          <w:p w14:paraId="30322533">
            <w:pPr>
              <w:spacing w:before="120" w:beforeLines="50" w:after="120" w:afterLines="50"/>
              <w:jc w:val="center"/>
              <w:rPr>
                <w:rFonts w:hint="default" w:ascii="Times New Roman" w:hAnsi="Times New Roman" w:eastAsia="宋体" w:cs="Times New Roman"/>
                <w:b/>
                <w:bCs/>
                <w:kern w:val="2"/>
                <w:sz w:val="21"/>
                <w:szCs w:val="21"/>
                <w:lang w:val="en-US" w:eastAsia="zh-CN" w:bidi="ar-SA"/>
              </w:rPr>
            </w:pPr>
            <w:r>
              <w:rPr>
                <w:rFonts w:hint="eastAsia"/>
                <w:b/>
                <w:bCs/>
                <w:szCs w:val="21"/>
                <w:lang w:val="en-US" w:eastAsia="zh-CN"/>
              </w:rPr>
              <w:t>9  墙体维护</w:t>
            </w:r>
          </w:p>
        </w:tc>
        <w:tc>
          <w:tcPr>
            <w:tcW w:w="4716" w:type="dxa"/>
            <w:shd w:val="clear" w:color="auto" w:fill="auto"/>
            <w:vAlign w:val="top"/>
          </w:tcPr>
          <w:p w14:paraId="299F5816">
            <w:pPr>
              <w:spacing w:before="120" w:beforeLines="50" w:after="120" w:afterLines="50"/>
              <w:jc w:val="center"/>
              <w:rPr>
                <w:rFonts w:hint="default" w:ascii="Times New Roman" w:hAnsi="Times New Roman" w:eastAsia="宋体" w:cs="Times New Roman"/>
                <w:b/>
                <w:bCs/>
                <w:kern w:val="2"/>
                <w:sz w:val="21"/>
                <w:szCs w:val="21"/>
                <w:lang w:val="en-US" w:eastAsia="zh-CN" w:bidi="ar-SA"/>
              </w:rPr>
            </w:pPr>
            <w:r>
              <w:rPr>
                <w:rFonts w:hint="eastAsia"/>
                <w:b/>
                <w:bCs/>
                <w:szCs w:val="21"/>
                <w:lang w:val="en-US" w:eastAsia="zh-CN"/>
              </w:rPr>
              <w:t>9  墙体维护</w:t>
            </w:r>
          </w:p>
        </w:tc>
      </w:tr>
      <w:tr w14:paraId="799722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686" w:type="dxa"/>
            <w:shd w:val="clear" w:color="auto" w:fill="auto"/>
            <w:vAlign w:val="top"/>
          </w:tcPr>
          <w:p w14:paraId="60D64357">
            <w:pPr>
              <w:keepNext w:val="0"/>
              <w:keepLines w:val="0"/>
              <w:pageBreakBefore w:val="0"/>
              <w:widowControl w:val="0"/>
              <w:kinsoku/>
              <w:wordWrap/>
              <w:overflowPunct/>
              <w:topLinePunct w:val="0"/>
              <w:bidi w:val="0"/>
              <w:snapToGrid/>
              <w:spacing w:line="360" w:lineRule="auto"/>
              <w:textAlignment w:val="auto"/>
              <w:rPr>
                <w:rFonts w:ascii="Times New Roman" w:hAnsi="Times New Roman" w:eastAsia="宋体" w:cs="Times New Roman"/>
                <w:bCs/>
                <w:kern w:val="2"/>
                <w:sz w:val="21"/>
                <w:szCs w:val="21"/>
                <w:lang w:val="en-US" w:eastAsia="zh-CN" w:bidi="ar-SA"/>
              </w:rPr>
            </w:pPr>
            <w:r>
              <w:rPr>
                <w:b/>
                <w:bCs/>
                <w:color w:val="auto"/>
                <w:highlight w:val="none"/>
              </w:rPr>
              <w:t xml:space="preserve">9.1.1  </w:t>
            </w:r>
            <w:r>
              <w:rPr>
                <w:color w:val="auto"/>
                <w:highlight w:val="none"/>
              </w:rPr>
              <w:t>墙体及部件使用年限少于主体结构的设计使用年限时，应制定更换、维护方案及实施细则。</w:t>
            </w:r>
          </w:p>
        </w:tc>
        <w:tc>
          <w:tcPr>
            <w:tcW w:w="4716" w:type="dxa"/>
            <w:shd w:val="clear" w:color="auto" w:fill="auto"/>
            <w:vAlign w:val="top"/>
          </w:tcPr>
          <w:p w14:paraId="248D90CE">
            <w:pPr>
              <w:keepNext w:val="0"/>
              <w:keepLines w:val="0"/>
              <w:pageBreakBefore w:val="0"/>
              <w:widowControl w:val="0"/>
              <w:kinsoku/>
              <w:wordWrap/>
              <w:overflowPunct/>
              <w:topLinePunct w:val="0"/>
              <w:bidi w:val="0"/>
              <w:snapToGrid/>
              <w:spacing w:line="360" w:lineRule="auto"/>
              <w:textAlignment w:val="auto"/>
              <w:rPr>
                <w:rFonts w:ascii="Times New Roman" w:hAnsi="Times New Roman" w:eastAsia="宋体" w:cs="Times New Roman"/>
                <w:bCs/>
                <w:kern w:val="2"/>
                <w:sz w:val="21"/>
                <w:szCs w:val="21"/>
                <w:lang w:val="en-US" w:eastAsia="zh-CN" w:bidi="ar-SA"/>
              </w:rPr>
            </w:pPr>
            <w:r>
              <w:rPr>
                <w:b/>
                <w:bCs/>
                <w:color w:val="auto"/>
                <w:highlight w:val="none"/>
              </w:rPr>
              <w:t xml:space="preserve">9.1.1  </w:t>
            </w:r>
            <w:r>
              <w:rPr>
                <w:color w:val="auto"/>
                <w:highlight w:val="none"/>
              </w:rPr>
              <w:t>墙体及部件</w:t>
            </w:r>
            <w:r>
              <w:rPr>
                <w:color w:val="auto"/>
                <w:highlight w:val="none"/>
                <w:bdr w:val="single" w:color="000000" w:sz="4" w:space="0"/>
              </w:rPr>
              <w:t>使用</w:t>
            </w:r>
            <w:r>
              <w:rPr>
                <w:rFonts w:hint="eastAsia"/>
                <w:color w:val="auto"/>
                <w:highlight w:val="none"/>
                <w:u w:val="single"/>
                <w:lang w:val="en-US" w:eastAsia="zh-CN"/>
              </w:rPr>
              <w:t>工作</w:t>
            </w:r>
            <w:r>
              <w:rPr>
                <w:color w:val="auto"/>
                <w:highlight w:val="none"/>
              </w:rPr>
              <w:t>年限少于主体结构的设计</w:t>
            </w:r>
            <w:r>
              <w:rPr>
                <w:color w:val="auto"/>
                <w:highlight w:val="none"/>
                <w:bdr w:val="single" w:sz="0" w:space="0"/>
              </w:rPr>
              <w:t>使用</w:t>
            </w:r>
            <w:r>
              <w:rPr>
                <w:rFonts w:hint="eastAsia"/>
                <w:color w:val="auto"/>
                <w:highlight w:val="none"/>
                <w:u w:val="single"/>
                <w:lang w:val="en-US" w:eastAsia="zh-CN"/>
              </w:rPr>
              <w:t>工作</w:t>
            </w:r>
            <w:r>
              <w:rPr>
                <w:color w:val="auto"/>
                <w:highlight w:val="none"/>
              </w:rPr>
              <w:t>年限时，应制定更换、维护方案及实施细则。</w:t>
            </w:r>
          </w:p>
        </w:tc>
      </w:tr>
      <w:tr w14:paraId="69E3C9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686" w:type="dxa"/>
            <w:shd w:val="clear" w:color="auto" w:fill="auto"/>
            <w:vAlign w:val="center"/>
          </w:tcPr>
          <w:p w14:paraId="1FF799A4">
            <w:pPr>
              <w:keepNext w:val="0"/>
              <w:keepLines w:val="0"/>
              <w:pageBreakBefore w:val="0"/>
              <w:widowControl w:val="0"/>
              <w:kinsoku/>
              <w:wordWrap/>
              <w:overflowPunct/>
              <w:topLinePunct w:val="0"/>
              <w:bidi w:val="0"/>
              <w:snapToGrid/>
              <w:spacing w:line="360" w:lineRule="auto"/>
              <w:textAlignment w:val="auto"/>
              <w:rPr>
                <w:rFonts w:hint="eastAsia" w:ascii="Times New Roman" w:hAnsi="Times New Roman" w:eastAsia="宋体" w:cs="Times New Roman"/>
                <w:bCs/>
                <w:kern w:val="2"/>
                <w:sz w:val="21"/>
                <w:szCs w:val="21"/>
                <w:highlight w:val="none"/>
                <w:lang w:val="en-US" w:eastAsia="zh-CN" w:bidi="ar-SA"/>
              </w:rPr>
            </w:pPr>
            <w:r>
              <w:rPr>
                <w:b/>
                <w:bCs/>
                <w:color w:val="auto"/>
                <w:highlight w:val="none"/>
              </w:rPr>
              <w:t xml:space="preserve">9.1.2  </w:t>
            </w:r>
            <w:r>
              <w:rPr>
                <w:color w:val="auto"/>
                <w:highlight w:val="none"/>
              </w:rPr>
              <w:t>房屋产权单位应组织相关部门，根据墙体物理损伤或化学损伤的原因、程度、所处环境以及结构安全性和耐久性的要求进行检测、评估，并制定修复设计与施工方案。</w:t>
            </w:r>
          </w:p>
        </w:tc>
        <w:tc>
          <w:tcPr>
            <w:tcW w:w="4716" w:type="dxa"/>
            <w:shd w:val="clear" w:color="auto" w:fill="auto"/>
            <w:vAlign w:val="center"/>
          </w:tcPr>
          <w:p w14:paraId="5422107E">
            <w:pPr>
              <w:keepNext w:val="0"/>
              <w:keepLines w:val="0"/>
              <w:pageBreakBefore w:val="0"/>
              <w:widowControl w:val="0"/>
              <w:kinsoku/>
              <w:wordWrap/>
              <w:overflowPunct/>
              <w:topLinePunct w:val="0"/>
              <w:bidi w:val="0"/>
              <w:snapToGrid/>
              <w:spacing w:line="360" w:lineRule="auto"/>
              <w:textAlignment w:val="auto"/>
              <w:rPr>
                <w:rFonts w:ascii="Times New Roman" w:hAnsi="Times New Roman" w:eastAsia="宋体" w:cs="Times New Roman"/>
                <w:bCs/>
                <w:kern w:val="2"/>
                <w:sz w:val="21"/>
                <w:szCs w:val="21"/>
                <w:highlight w:val="none"/>
                <w:lang w:val="en-US" w:eastAsia="zh-CN" w:bidi="ar-SA"/>
              </w:rPr>
            </w:pPr>
            <w:r>
              <w:rPr>
                <w:b/>
                <w:bCs/>
                <w:color w:val="auto"/>
                <w:highlight w:val="none"/>
              </w:rPr>
              <w:t xml:space="preserve">9.1.2  </w:t>
            </w:r>
            <w:r>
              <w:rPr>
                <w:color w:val="auto"/>
                <w:highlight w:val="none"/>
                <w:bdr w:val="single" w:color="000000" w:sz="0" w:space="0"/>
              </w:rPr>
              <w:t>房屋产权单位应组织相关部门，</w:t>
            </w:r>
            <w:r>
              <w:rPr>
                <w:rFonts w:hint="eastAsia"/>
                <w:color w:val="auto"/>
                <w:highlight w:val="none"/>
                <w:u w:val="single"/>
                <w:lang w:val="en-US" w:eastAsia="zh-CN"/>
              </w:rPr>
              <w:t>定期</w:t>
            </w:r>
            <w:r>
              <w:rPr>
                <w:color w:val="auto"/>
                <w:highlight w:val="none"/>
              </w:rPr>
              <w:t>根据墙体物理损伤或化学损伤的原因、程度、所处环境以及结构安全性和耐久性的要求进行检测、评估，并制定修复设计与施工方案。</w:t>
            </w:r>
          </w:p>
        </w:tc>
      </w:tr>
      <w:tr w14:paraId="61BFC6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686" w:type="dxa"/>
            <w:shd w:val="clear" w:color="auto" w:fill="auto"/>
            <w:vAlign w:val="center"/>
          </w:tcPr>
          <w:p w14:paraId="1CBEB0CB">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eastAsia" w:ascii="Times New Roman" w:hAnsi="Times New Roman" w:eastAsia="宋体" w:cs="Times New Roman"/>
                <w:bCs/>
                <w:kern w:val="2"/>
                <w:sz w:val="21"/>
                <w:szCs w:val="21"/>
                <w:lang w:val="en-US" w:eastAsia="zh-CN" w:bidi="ar-SA"/>
              </w:rPr>
            </w:pPr>
            <w:r>
              <w:rPr>
                <w:b/>
                <w:bCs/>
                <w:color w:val="auto"/>
                <w:highlight w:val="none"/>
              </w:rPr>
              <w:t xml:space="preserve">9.2.1  </w:t>
            </w:r>
            <w:r>
              <w:rPr>
                <w:color w:val="auto"/>
                <w:highlight w:val="none"/>
              </w:rPr>
              <w:t>房屋产权单位</w:t>
            </w:r>
            <w:r>
              <w:rPr>
                <w:bCs/>
                <w:color w:val="auto"/>
                <w:highlight w:val="none"/>
              </w:rPr>
              <w:t>应</w:t>
            </w:r>
            <w:r>
              <w:rPr>
                <w:color w:val="auto"/>
                <w:highlight w:val="none"/>
              </w:rPr>
              <w:t>定期检查建筑物周边及室内的排水设施。</w:t>
            </w:r>
          </w:p>
        </w:tc>
        <w:tc>
          <w:tcPr>
            <w:tcW w:w="4716" w:type="dxa"/>
            <w:shd w:val="clear" w:color="auto" w:fill="auto"/>
            <w:vAlign w:val="center"/>
          </w:tcPr>
          <w:p w14:paraId="5532FA0F">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ascii="Times New Roman" w:hAnsi="Times New Roman" w:eastAsia="宋体" w:cs="Times New Roman"/>
                <w:bCs/>
                <w:kern w:val="2"/>
                <w:sz w:val="21"/>
                <w:szCs w:val="21"/>
                <w:lang w:val="en-US" w:eastAsia="zh-CN" w:bidi="ar-SA"/>
              </w:rPr>
            </w:pPr>
            <w:r>
              <w:rPr>
                <w:b/>
                <w:bCs/>
                <w:color w:val="auto"/>
                <w:highlight w:val="none"/>
              </w:rPr>
              <w:t xml:space="preserve">9.2.1  </w:t>
            </w:r>
            <w:r>
              <w:rPr>
                <w:color w:val="auto"/>
                <w:highlight w:val="none"/>
                <w:bdr w:val="single" w:color="000000" w:sz="0" w:space="0"/>
              </w:rPr>
              <w:t>房屋产权单位</w:t>
            </w:r>
            <w:r>
              <w:rPr>
                <w:bCs/>
                <w:color w:val="auto"/>
                <w:highlight w:val="none"/>
                <w:bdr w:val="single" w:color="000000" w:sz="0" w:space="0"/>
              </w:rPr>
              <w:t>应</w:t>
            </w:r>
            <w:r>
              <w:rPr>
                <w:color w:val="auto"/>
                <w:highlight w:val="none"/>
                <w:bdr w:val="single" w:color="000000" w:sz="0" w:space="0"/>
              </w:rPr>
              <w:t>定期检查</w:t>
            </w:r>
            <w:r>
              <w:rPr>
                <w:color w:val="auto"/>
                <w:highlight w:val="none"/>
              </w:rPr>
              <w:t>建筑物周边及室内的排水设施</w:t>
            </w:r>
            <w:r>
              <w:rPr>
                <w:rFonts w:hint="eastAsia"/>
                <w:color w:val="auto"/>
                <w:highlight w:val="none"/>
                <w:u w:val="single"/>
                <w:lang w:val="en-US" w:eastAsia="zh-CN"/>
              </w:rPr>
              <w:t>应定期检查</w:t>
            </w:r>
            <w:r>
              <w:rPr>
                <w:color w:val="auto"/>
                <w:highlight w:val="none"/>
              </w:rPr>
              <w:t>。</w:t>
            </w:r>
          </w:p>
        </w:tc>
      </w:tr>
      <w:tr w14:paraId="7C726E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686" w:type="dxa"/>
            <w:shd w:val="clear" w:color="auto" w:fill="auto"/>
            <w:vAlign w:val="center"/>
          </w:tcPr>
          <w:p w14:paraId="056F4E86">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eastAsia" w:ascii="Times New Roman" w:hAnsi="Times New Roman" w:eastAsia="宋体" w:cs="Times New Roman"/>
                <w:bCs/>
                <w:kern w:val="2"/>
                <w:sz w:val="21"/>
                <w:szCs w:val="21"/>
                <w:lang w:val="en-US" w:eastAsia="zh-CN" w:bidi="ar-SA"/>
              </w:rPr>
            </w:pPr>
            <w:r>
              <w:rPr>
                <w:b/>
                <w:bCs/>
                <w:color w:val="auto"/>
                <w:highlight w:val="none"/>
              </w:rPr>
              <w:t xml:space="preserve">9.2.2  </w:t>
            </w:r>
            <w:r>
              <w:rPr>
                <w:color w:val="auto"/>
                <w:highlight w:val="none"/>
              </w:rPr>
              <w:t>房屋产权单位</w:t>
            </w:r>
            <w:r>
              <w:rPr>
                <w:bCs/>
                <w:color w:val="auto"/>
                <w:highlight w:val="none"/>
              </w:rPr>
              <w:t>应按制度</w:t>
            </w:r>
            <w:r>
              <w:rPr>
                <w:color w:val="auto"/>
                <w:highlight w:val="none"/>
              </w:rPr>
              <w:t>查阅所用墙体材料及配件的设计使用寿命资料，</w:t>
            </w:r>
            <w:r>
              <w:rPr>
                <w:color w:val="auto"/>
                <w:spacing w:val="-11"/>
                <w:highlight w:val="none"/>
              </w:rPr>
              <w:t>对接近或超出使用年限的应进行安全性评估。</w:t>
            </w:r>
          </w:p>
        </w:tc>
        <w:tc>
          <w:tcPr>
            <w:tcW w:w="4716" w:type="dxa"/>
            <w:shd w:val="clear" w:color="auto" w:fill="auto"/>
            <w:vAlign w:val="center"/>
          </w:tcPr>
          <w:p w14:paraId="24ADBCAF">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ascii="Times New Roman" w:hAnsi="Times New Roman" w:eastAsia="宋体" w:cs="Times New Roman"/>
                <w:bCs/>
                <w:kern w:val="2"/>
                <w:sz w:val="21"/>
                <w:szCs w:val="21"/>
                <w:lang w:val="en-US" w:eastAsia="zh-CN" w:bidi="ar-SA"/>
              </w:rPr>
            </w:pPr>
            <w:r>
              <w:rPr>
                <w:b/>
                <w:bCs/>
                <w:color w:val="auto"/>
                <w:highlight w:val="none"/>
              </w:rPr>
              <w:t xml:space="preserve">9.2.2  </w:t>
            </w:r>
            <w:r>
              <w:rPr>
                <w:color w:val="auto"/>
                <w:highlight w:val="none"/>
                <w:bdr w:val="single" w:color="000000" w:sz="0" w:space="0"/>
              </w:rPr>
              <w:t>房屋产权单位</w:t>
            </w:r>
            <w:r>
              <w:rPr>
                <w:bCs/>
                <w:color w:val="auto"/>
                <w:highlight w:val="none"/>
                <w:bdr w:val="single" w:color="000000" w:sz="0" w:space="0"/>
              </w:rPr>
              <w:t>应按制度</w:t>
            </w:r>
            <w:r>
              <w:rPr>
                <w:color w:val="auto"/>
                <w:highlight w:val="none"/>
                <w:bdr w:val="single" w:color="000000" w:sz="0" w:space="0"/>
              </w:rPr>
              <w:t>查阅所用</w:t>
            </w:r>
            <w:r>
              <w:rPr>
                <w:color w:val="auto"/>
                <w:highlight w:val="none"/>
              </w:rPr>
              <w:t>墙体材料及配件的设计</w:t>
            </w:r>
            <w:r>
              <w:rPr>
                <w:color w:val="auto"/>
                <w:highlight w:val="none"/>
                <w:bdr w:val="single" w:color="000000" w:sz="4" w:space="0"/>
              </w:rPr>
              <w:t>使用寿命</w:t>
            </w:r>
            <w:r>
              <w:rPr>
                <w:rFonts w:hint="eastAsia"/>
                <w:color w:val="auto"/>
                <w:highlight w:val="none"/>
                <w:u w:val="single"/>
                <w:lang w:val="en-US" w:eastAsia="zh-CN"/>
              </w:rPr>
              <w:t>工作年限</w:t>
            </w:r>
            <w:r>
              <w:rPr>
                <w:color w:val="auto"/>
                <w:highlight w:val="none"/>
              </w:rPr>
              <w:t>资料</w:t>
            </w:r>
            <w:r>
              <w:rPr>
                <w:rFonts w:hint="eastAsia"/>
                <w:color w:val="auto"/>
                <w:highlight w:val="none"/>
                <w:u w:val="single"/>
                <w:lang w:val="en-US" w:eastAsia="zh-CN"/>
              </w:rPr>
              <w:t>应按制度查阅</w:t>
            </w:r>
            <w:r>
              <w:rPr>
                <w:color w:val="auto"/>
                <w:highlight w:val="none"/>
              </w:rPr>
              <w:t>，</w:t>
            </w:r>
            <w:r>
              <w:rPr>
                <w:color w:val="auto"/>
                <w:spacing w:val="-11"/>
                <w:highlight w:val="none"/>
              </w:rPr>
              <w:t>对接近或超出</w:t>
            </w:r>
            <w:r>
              <w:rPr>
                <w:color w:val="auto"/>
                <w:spacing w:val="-11"/>
                <w:highlight w:val="none"/>
                <w:bdr w:val="single" w:color="000000" w:sz="0" w:space="0"/>
              </w:rPr>
              <w:t>使用</w:t>
            </w:r>
            <w:r>
              <w:rPr>
                <w:rFonts w:hint="eastAsia"/>
                <w:color w:val="auto"/>
                <w:spacing w:val="-11"/>
                <w:highlight w:val="none"/>
                <w:u w:val="single"/>
                <w:lang w:val="en-US" w:eastAsia="zh-CN"/>
              </w:rPr>
              <w:t>工作</w:t>
            </w:r>
            <w:r>
              <w:rPr>
                <w:color w:val="auto"/>
                <w:spacing w:val="-11"/>
                <w:highlight w:val="none"/>
              </w:rPr>
              <w:t>年限的应进行安全性评估。</w:t>
            </w:r>
          </w:p>
        </w:tc>
      </w:tr>
      <w:tr w14:paraId="167FAE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686" w:type="dxa"/>
            <w:shd w:val="clear" w:color="auto" w:fill="auto"/>
            <w:vAlign w:val="center"/>
          </w:tcPr>
          <w:p w14:paraId="6A6A9AA7">
            <w:pPr>
              <w:keepNext w:val="0"/>
              <w:keepLines w:val="0"/>
              <w:pageBreakBefore w:val="0"/>
              <w:widowControl w:val="0"/>
              <w:kinsoku/>
              <w:wordWrap/>
              <w:overflowPunct/>
              <w:topLinePunct w:val="0"/>
              <w:bidi w:val="0"/>
              <w:snapToGrid/>
              <w:spacing w:line="360" w:lineRule="auto"/>
              <w:textAlignment w:val="auto"/>
              <w:rPr>
                <w:rFonts w:hint="eastAsia" w:ascii="Times New Roman" w:hAnsi="Times New Roman" w:eastAsia="宋体" w:cs="Times New Roman"/>
                <w:bCs/>
                <w:kern w:val="2"/>
                <w:sz w:val="21"/>
                <w:szCs w:val="21"/>
                <w:lang w:val="en-US" w:eastAsia="zh-CN" w:bidi="ar-SA"/>
              </w:rPr>
            </w:pPr>
            <w:r>
              <w:rPr>
                <w:b/>
                <w:bCs/>
                <w:color w:val="auto"/>
                <w:highlight w:val="none"/>
              </w:rPr>
              <w:t xml:space="preserve">9.3.1  </w:t>
            </w:r>
            <w:r>
              <w:rPr>
                <w:color w:val="auto"/>
                <w:highlight w:val="none"/>
              </w:rPr>
              <w:t>寿命少于设计</w:t>
            </w:r>
            <w:r>
              <w:rPr>
                <w:color w:val="auto"/>
                <w:spacing w:val="-11"/>
                <w:highlight w:val="none"/>
              </w:rPr>
              <w:t>使用</w:t>
            </w:r>
            <w:r>
              <w:rPr>
                <w:color w:val="auto"/>
                <w:highlight w:val="none"/>
              </w:rPr>
              <w:t>年限的材料及部件应按更换和维护实施细则，除掉到期材料和配件并重新更换，对其使用中的局部损坏，应按原设计要求进行修补。</w:t>
            </w:r>
          </w:p>
        </w:tc>
        <w:tc>
          <w:tcPr>
            <w:tcW w:w="4716" w:type="dxa"/>
            <w:shd w:val="clear" w:color="auto" w:fill="auto"/>
            <w:vAlign w:val="center"/>
          </w:tcPr>
          <w:p w14:paraId="14E61D63">
            <w:pPr>
              <w:keepNext w:val="0"/>
              <w:keepLines w:val="0"/>
              <w:pageBreakBefore w:val="0"/>
              <w:widowControl w:val="0"/>
              <w:kinsoku/>
              <w:wordWrap/>
              <w:overflowPunct/>
              <w:topLinePunct w:val="0"/>
              <w:bidi w:val="0"/>
              <w:snapToGrid/>
              <w:spacing w:line="360" w:lineRule="auto"/>
              <w:textAlignment w:val="auto"/>
              <w:rPr>
                <w:rFonts w:ascii="Times New Roman" w:hAnsi="Times New Roman" w:eastAsia="宋体" w:cs="Times New Roman"/>
                <w:bCs/>
                <w:kern w:val="2"/>
                <w:sz w:val="21"/>
                <w:szCs w:val="21"/>
                <w:lang w:val="en-US" w:eastAsia="zh-CN" w:bidi="ar-SA"/>
              </w:rPr>
            </w:pPr>
            <w:r>
              <w:rPr>
                <w:b/>
                <w:bCs/>
                <w:color w:val="auto"/>
                <w:highlight w:val="none"/>
              </w:rPr>
              <w:t xml:space="preserve">9.3.1  </w:t>
            </w:r>
            <w:r>
              <w:rPr>
                <w:color w:val="auto"/>
                <w:highlight w:val="none"/>
              </w:rPr>
              <w:t>寿命少于设计</w:t>
            </w:r>
            <w:r>
              <w:rPr>
                <w:color w:val="auto"/>
                <w:spacing w:val="-11"/>
                <w:highlight w:val="none"/>
                <w:bdr w:val="single" w:color="000000" w:sz="0" w:space="0"/>
              </w:rPr>
              <w:t>使用</w:t>
            </w:r>
            <w:r>
              <w:rPr>
                <w:rFonts w:hint="eastAsia"/>
                <w:color w:val="auto"/>
                <w:spacing w:val="-11"/>
                <w:highlight w:val="none"/>
                <w:u w:val="single"/>
                <w:lang w:val="en-US" w:eastAsia="zh-CN"/>
              </w:rPr>
              <w:t>工作</w:t>
            </w:r>
            <w:r>
              <w:rPr>
                <w:color w:val="auto"/>
                <w:highlight w:val="none"/>
              </w:rPr>
              <w:t>年限的材料及部件应按更换和维护实施细则，除掉到期材料和配件并重新更换，对其使用中的局部损坏，应按原设计要求进行修补。</w:t>
            </w:r>
          </w:p>
        </w:tc>
      </w:tr>
      <w:tr w14:paraId="397AAE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686" w:type="dxa"/>
            <w:shd w:val="clear" w:color="auto" w:fill="auto"/>
            <w:vAlign w:val="center"/>
          </w:tcPr>
          <w:p w14:paraId="410AAA2D">
            <w:pPr>
              <w:keepNext w:val="0"/>
              <w:keepLines w:val="0"/>
              <w:pageBreakBefore w:val="0"/>
              <w:widowControl w:val="0"/>
              <w:kinsoku/>
              <w:wordWrap/>
              <w:overflowPunct/>
              <w:topLinePunct w:val="0"/>
              <w:autoSpaceDE w:val="0"/>
              <w:autoSpaceDN w:val="0"/>
              <w:bidi w:val="0"/>
              <w:adjustRightInd w:val="0"/>
              <w:snapToGrid/>
              <w:spacing w:line="360" w:lineRule="auto"/>
              <w:jc w:val="left"/>
              <w:textAlignment w:val="auto"/>
              <w:rPr>
                <w:rFonts w:hint="eastAsia" w:ascii="Times New Roman" w:hAnsi="Times New Roman" w:eastAsia="宋体" w:cs="Times New Roman"/>
                <w:bCs/>
                <w:kern w:val="2"/>
                <w:sz w:val="21"/>
                <w:szCs w:val="21"/>
                <w:lang w:val="en-US" w:eastAsia="zh-CN" w:bidi="ar-SA"/>
              </w:rPr>
            </w:pPr>
            <w:r>
              <w:rPr>
                <w:b/>
                <w:bCs/>
                <w:color w:val="auto"/>
                <w:highlight w:val="none"/>
              </w:rPr>
              <w:t>9.3.5</w:t>
            </w:r>
            <w:r>
              <w:rPr>
                <w:color w:val="auto"/>
                <w:highlight w:val="none"/>
              </w:rPr>
              <w:t xml:space="preserve">  墙体修补后应根据修复材料的特性进行养护。</w:t>
            </w:r>
          </w:p>
        </w:tc>
        <w:tc>
          <w:tcPr>
            <w:tcW w:w="4716" w:type="dxa"/>
            <w:shd w:val="clear" w:color="auto" w:fill="auto"/>
            <w:vAlign w:val="center"/>
          </w:tcPr>
          <w:p w14:paraId="196EC68D">
            <w:pPr>
              <w:keepNext w:val="0"/>
              <w:keepLines w:val="0"/>
              <w:pageBreakBefore w:val="0"/>
              <w:widowControl w:val="0"/>
              <w:kinsoku/>
              <w:wordWrap/>
              <w:overflowPunct/>
              <w:topLinePunct w:val="0"/>
              <w:autoSpaceDE w:val="0"/>
              <w:autoSpaceDN w:val="0"/>
              <w:bidi w:val="0"/>
              <w:adjustRightInd w:val="0"/>
              <w:snapToGrid/>
              <w:spacing w:line="360" w:lineRule="auto"/>
              <w:jc w:val="left"/>
              <w:textAlignment w:val="auto"/>
              <w:rPr>
                <w:rFonts w:ascii="Times New Roman" w:hAnsi="Times New Roman" w:eastAsia="宋体" w:cs="Times New Roman"/>
                <w:bCs/>
                <w:kern w:val="2"/>
                <w:sz w:val="21"/>
                <w:szCs w:val="21"/>
                <w:lang w:val="en-US" w:eastAsia="zh-CN" w:bidi="ar-SA"/>
              </w:rPr>
            </w:pPr>
            <w:r>
              <w:rPr>
                <w:b/>
                <w:bCs/>
                <w:color w:val="auto"/>
                <w:highlight w:val="none"/>
              </w:rPr>
              <w:t>9.3.5</w:t>
            </w:r>
            <w:r>
              <w:rPr>
                <w:color w:val="auto"/>
                <w:highlight w:val="none"/>
              </w:rPr>
              <w:t xml:space="preserve">  墙体修补后应根据修</w:t>
            </w:r>
            <w:r>
              <w:rPr>
                <w:color w:val="auto"/>
                <w:highlight w:val="none"/>
                <w:bdr w:val="single" w:color="000000" w:sz="4" w:space="0"/>
              </w:rPr>
              <w:t>复</w:t>
            </w:r>
            <w:r>
              <w:rPr>
                <w:rFonts w:hint="eastAsia"/>
                <w:color w:val="auto"/>
                <w:highlight w:val="none"/>
                <w:u w:val="single"/>
                <w:lang w:val="en-US" w:eastAsia="zh-CN"/>
              </w:rPr>
              <w:t>补</w:t>
            </w:r>
            <w:r>
              <w:rPr>
                <w:color w:val="auto"/>
                <w:highlight w:val="none"/>
              </w:rPr>
              <w:t>材料的特性进行养护。</w:t>
            </w:r>
          </w:p>
        </w:tc>
      </w:tr>
    </w:tbl>
    <w:p w14:paraId="3C5DAC3F">
      <w:r>
        <w:br w:type="page"/>
      </w:r>
    </w:p>
    <w:tbl>
      <w:tblPr>
        <w:tblStyle w:val="7"/>
        <w:tblW w:w="940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686"/>
        <w:gridCol w:w="4716"/>
      </w:tblGrid>
      <w:tr w14:paraId="418FF5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Header/>
        </w:trPr>
        <w:tc>
          <w:tcPr>
            <w:tcW w:w="4686" w:type="dxa"/>
            <w:vAlign w:val="top"/>
          </w:tcPr>
          <w:p w14:paraId="66D5A7D2">
            <w:pPr>
              <w:spacing w:before="120" w:beforeLines="50" w:after="120" w:afterLines="50"/>
              <w:jc w:val="center"/>
              <w:rPr>
                <w:rFonts w:ascii="Times New Roman" w:hAnsi="Times New Roman"/>
                <w:b/>
                <w:bCs/>
                <w:szCs w:val="21"/>
              </w:rPr>
            </w:pPr>
            <w:r>
              <w:rPr>
                <w:rFonts w:ascii="Times New Roman" w:hAnsi="Times New Roman"/>
                <w:b/>
                <w:bCs/>
                <w:szCs w:val="21"/>
              </w:rPr>
              <w:t>现行《标准》条文</w:t>
            </w:r>
          </w:p>
        </w:tc>
        <w:tc>
          <w:tcPr>
            <w:tcW w:w="4716" w:type="dxa"/>
          </w:tcPr>
          <w:p w14:paraId="784188C9">
            <w:pPr>
              <w:spacing w:before="120" w:beforeLines="50" w:after="120" w:afterLines="50"/>
              <w:jc w:val="center"/>
              <w:rPr>
                <w:rFonts w:ascii="Times New Roman" w:hAnsi="Times New Roman"/>
                <w:b/>
                <w:bCs/>
                <w:szCs w:val="21"/>
              </w:rPr>
            </w:pPr>
            <w:r>
              <w:rPr>
                <w:rFonts w:ascii="Times New Roman" w:hAnsi="Times New Roman"/>
                <w:b/>
                <w:bCs/>
                <w:szCs w:val="21"/>
              </w:rPr>
              <w:t>局部修订征求意见稿</w:t>
            </w:r>
          </w:p>
        </w:tc>
      </w:tr>
      <w:tr w14:paraId="560754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686" w:type="dxa"/>
            <w:shd w:val="clear" w:color="auto" w:fill="auto"/>
            <w:vAlign w:val="top"/>
          </w:tcPr>
          <w:p w14:paraId="1BC9C88D">
            <w:pPr>
              <w:spacing w:before="120" w:beforeLines="50" w:after="120" w:afterLines="50"/>
              <w:jc w:val="center"/>
              <w:rPr>
                <w:rFonts w:hint="default" w:ascii="Times New Roman" w:hAnsi="Times New Roman" w:eastAsia="宋体" w:cs="Times New Roman"/>
                <w:b/>
                <w:bCs/>
                <w:kern w:val="2"/>
                <w:sz w:val="21"/>
                <w:szCs w:val="21"/>
                <w:lang w:val="en-US" w:eastAsia="zh-CN" w:bidi="ar-SA"/>
              </w:rPr>
            </w:pPr>
            <w:r>
              <w:rPr>
                <w:rFonts w:hint="eastAsia"/>
                <w:b/>
                <w:bCs/>
                <w:szCs w:val="21"/>
                <w:lang w:val="en-US" w:eastAsia="zh-CN"/>
              </w:rPr>
              <w:t>10  试  验</w:t>
            </w:r>
          </w:p>
        </w:tc>
        <w:tc>
          <w:tcPr>
            <w:tcW w:w="4716" w:type="dxa"/>
            <w:shd w:val="clear" w:color="auto" w:fill="auto"/>
            <w:vAlign w:val="top"/>
          </w:tcPr>
          <w:p w14:paraId="52C053CB">
            <w:pPr>
              <w:spacing w:before="120" w:beforeLines="50" w:after="120" w:afterLines="50"/>
              <w:jc w:val="center"/>
              <w:rPr>
                <w:rFonts w:hint="default" w:ascii="Times New Roman" w:hAnsi="Times New Roman" w:eastAsia="宋体" w:cs="Times New Roman"/>
                <w:b/>
                <w:bCs/>
                <w:kern w:val="2"/>
                <w:sz w:val="21"/>
                <w:szCs w:val="21"/>
                <w:lang w:val="en-US" w:eastAsia="zh-CN" w:bidi="ar-SA"/>
              </w:rPr>
            </w:pPr>
            <w:r>
              <w:rPr>
                <w:rFonts w:hint="eastAsia"/>
                <w:b/>
                <w:bCs/>
                <w:szCs w:val="21"/>
                <w:lang w:val="en-US" w:eastAsia="zh-CN"/>
              </w:rPr>
              <w:t>10  试  验</w:t>
            </w:r>
          </w:p>
        </w:tc>
      </w:tr>
      <w:tr w14:paraId="5EEE05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686" w:type="dxa"/>
            <w:shd w:val="clear" w:color="auto" w:fill="auto"/>
            <w:vAlign w:val="top"/>
          </w:tcPr>
          <w:p w14:paraId="1A5830B0">
            <w:pPr>
              <w:keepNext w:val="0"/>
              <w:keepLines w:val="0"/>
              <w:pageBreakBefore w:val="0"/>
              <w:widowControl w:val="0"/>
              <w:kinsoku/>
              <w:wordWrap/>
              <w:overflowPunct/>
              <w:topLinePunct w:val="0"/>
              <w:bidi w:val="0"/>
              <w:spacing w:line="360" w:lineRule="auto"/>
              <w:textAlignment w:val="auto"/>
              <w:outlineLvl w:val="9"/>
              <w:rPr>
                <w:rFonts w:ascii="Times New Roman" w:hAnsi="Times New Roman" w:eastAsia="宋体" w:cs="Times New Roman"/>
                <w:bCs/>
                <w:kern w:val="2"/>
                <w:sz w:val="21"/>
                <w:szCs w:val="21"/>
                <w:lang w:val="en-US" w:eastAsia="zh-CN" w:bidi="ar-SA"/>
              </w:rPr>
            </w:pPr>
            <w:r>
              <w:rPr>
                <w:b/>
                <w:bCs/>
                <w:color w:val="auto"/>
                <w:highlight w:val="none"/>
              </w:rPr>
              <w:t xml:space="preserve">10.2.1  </w:t>
            </w:r>
            <w:r>
              <w:rPr>
                <w:bCs/>
                <w:color w:val="auto"/>
                <w:highlight w:val="none"/>
              </w:rPr>
              <w:t>砖的试验方法应按现行国家标准《砌墙砖试验方法》GB/T 2542的有关规定执行，块体材料抗压试验时，加载方向应与其在砌体中所受重力方向一致。</w:t>
            </w:r>
          </w:p>
        </w:tc>
        <w:tc>
          <w:tcPr>
            <w:tcW w:w="4716" w:type="dxa"/>
            <w:shd w:val="clear" w:color="auto" w:fill="auto"/>
            <w:vAlign w:val="top"/>
          </w:tcPr>
          <w:p w14:paraId="18B93849">
            <w:pPr>
              <w:keepNext w:val="0"/>
              <w:keepLines w:val="0"/>
              <w:pageBreakBefore w:val="0"/>
              <w:widowControl w:val="0"/>
              <w:kinsoku/>
              <w:wordWrap/>
              <w:overflowPunct/>
              <w:topLinePunct w:val="0"/>
              <w:bidi w:val="0"/>
              <w:spacing w:line="360" w:lineRule="auto"/>
              <w:textAlignment w:val="auto"/>
              <w:outlineLvl w:val="9"/>
              <w:rPr>
                <w:rFonts w:ascii="Times New Roman" w:hAnsi="Times New Roman" w:eastAsia="宋体" w:cs="Times New Roman"/>
                <w:bCs/>
                <w:kern w:val="2"/>
                <w:sz w:val="21"/>
                <w:szCs w:val="21"/>
                <w:lang w:val="en-US" w:eastAsia="zh-CN" w:bidi="ar-SA"/>
              </w:rPr>
            </w:pPr>
            <w:r>
              <w:rPr>
                <w:b/>
                <w:bCs/>
                <w:color w:val="auto"/>
                <w:highlight w:val="none"/>
              </w:rPr>
              <w:t xml:space="preserve">10.2.1  </w:t>
            </w:r>
            <w:r>
              <w:rPr>
                <w:bCs/>
                <w:color w:val="auto"/>
                <w:highlight w:val="none"/>
              </w:rPr>
              <w:t>砖的试验方法应按现行国家标准《砌墙砖试验方法》GB/T 2542的有关规定执行，块体</w:t>
            </w:r>
            <w:r>
              <w:rPr>
                <w:bCs/>
                <w:color w:val="auto"/>
                <w:highlight w:val="none"/>
                <w:bdr w:val="single" w:color="000000" w:sz="4" w:space="0"/>
              </w:rPr>
              <w:t>材料</w:t>
            </w:r>
            <w:r>
              <w:rPr>
                <w:bCs/>
                <w:color w:val="auto"/>
                <w:highlight w:val="none"/>
              </w:rPr>
              <w:t>抗压试验时，加载方向应与其在砌体中所受</w:t>
            </w:r>
            <w:r>
              <w:rPr>
                <w:bCs/>
                <w:color w:val="auto"/>
                <w:highlight w:val="none"/>
                <w:bdr w:val="single" w:color="000000" w:sz="4" w:space="0"/>
              </w:rPr>
              <w:t>重力</w:t>
            </w:r>
            <w:r>
              <w:rPr>
                <w:rFonts w:hint="eastAsia"/>
                <w:bCs/>
                <w:color w:val="auto"/>
                <w:highlight w:val="none"/>
                <w:u w:val="single"/>
                <w:lang w:val="en-US" w:eastAsia="zh-CN"/>
              </w:rPr>
              <w:t>荷载</w:t>
            </w:r>
            <w:r>
              <w:rPr>
                <w:bCs/>
                <w:color w:val="auto"/>
                <w:highlight w:val="none"/>
              </w:rPr>
              <w:t>方向一致。</w:t>
            </w:r>
          </w:p>
        </w:tc>
      </w:tr>
      <w:tr w14:paraId="203CEC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686" w:type="dxa"/>
            <w:shd w:val="clear" w:color="auto" w:fill="auto"/>
            <w:vAlign w:val="center"/>
          </w:tcPr>
          <w:p w14:paraId="628903D8">
            <w:pPr>
              <w:keepNext w:val="0"/>
              <w:keepLines w:val="0"/>
              <w:pageBreakBefore w:val="0"/>
              <w:widowControl w:val="0"/>
              <w:kinsoku/>
              <w:wordWrap/>
              <w:overflowPunct/>
              <w:topLinePunct w:val="0"/>
              <w:bidi w:val="0"/>
              <w:spacing w:line="360" w:lineRule="auto"/>
              <w:textAlignment w:val="auto"/>
              <w:outlineLvl w:val="9"/>
              <w:rPr>
                <w:rFonts w:hint="eastAsia" w:ascii="Times New Roman" w:hAnsi="Times New Roman" w:eastAsia="宋体" w:cs="Times New Roman"/>
                <w:bCs/>
                <w:kern w:val="2"/>
                <w:sz w:val="21"/>
                <w:szCs w:val="21"/>
                <w:highlight w:val="none"/>
                <w:lang w:val="en-US" w:eastAsia="zh-CN" w:bidi="ar-SA"/>
              </w:rPr>
            </w:pPr>
            <w:r>
              <w:rPr>
                <w:b/>
                <w:bCs/>
                <w:color w:val="auto"/>
                <w:highlight w:val="none"/>
              </w:rPr>
              <w:t>10.2.2</w:t>
            </w:r>
            <w:r>
              <w:rPr>
                <w:bCs/>
                <w:color w:val="auto"/>
                <w:highlight w:val="none"/>
              </w:rPr>
              <w:t xml:space="preserve">  混凝土小型空心砌块的物理力学性能试验方法应按现行国家标准《混凝土小型空心砌块试验方法》GB/T 4111的有关规定执行。</w:t>
            </w:r>
          </w:p>
        </w:tc>
        <w:tc>
          <w:tcPr>
            <w:tcW w:w="4716" w:type="dxa"/>
            <w:shd w:val="clear" w:color="auto" w:fill="auto"/>
            <w:vAlign w:val="center"/>
          </w:tcPr>
          <w:p w14:paraId="76B4640D">
            <w:pPr>
              <w:keepNext w:val="0"/>
              <w:keepLines w:val="0"/>
              <w:pageBreakBefore w:val="0"/>
              <w:widowControl w:val="0"/>
              <w:kinsoku/>
              <w:wordWrap/>
              <w:overflowPunct/>
              <w:topLinePunct w:val="0"/>
              <w:bidi w:val="0"/>
              <w:spacing w:line="360" w:lineRule="auto"/>
              <w:textAlignment w:val="auto"/>
              <w:outlineLvl w:val="9"/>
              <w:rPr>
                <w:rFonts w:ascii="Times New Roman" w:hAnsi="Times New Roman" w:eastAsia="宋体" w:cs="Times New Roman"/>
                <w:bCs/>
                <w:kern w:val="2"/>
                <w:sz w:val="21"/>
                <w:szCs w:val="21"/>
                <w:highlight w:val="none"/>
                <w:lang w:val="en-US" w:eastAsia="zh-CN" w:bidi="ar-SA"/>
              </w:rPr>
            </w:pPr>
            <w:r>
              <w:rPr>
                <w:b/>
                <w:bCs/>
                <w:color w:val="auto"/>
                <w:highlight w:val="none"/>
              </w:rPr>
              <w:t>10.2.2</w:t>
            </w:r>
            <w:r>
              <w:rPr>
                <w:bCs/>
                <w:color w:val="auto"/>
                <w:highlight w:val="none"/>
              </w:rPr>
              <w:t xml:space="preserve">  混凝土小型空心砌块的物理力学性能试验方法应按现行国家标准《混凝土</w:t>
            </w:r>
            <w:r>
              <w:rPr>
                <w:bCs/>
                <w:color w:val="auto"/>
                <w:highlight w:val="none"/>
                <w:bdr w:val="single" w:color="000000" w:sz="4" w:space="0"/>
              </w:rPr>
              <w:t>小型空心</w:t>
            </w:r>
            <w:r>
              <w:rPr>
                <w:bCs/>
                <w:color w:val="auto"/>
                <w:highlight w:val="none"/>
              </w:rPr>
              <w:t>砌块</w:t>
            </w:r>
            <w:r>
              <w:rPr>
                <w:rFonts w:hint="eastAsia"/>
                <w:bCs/>
                <w:color w:val="auto"/>
                <w:highlight w:val="none"/>
                <w:u w:val="single"/>
                <w:lang w:val="en-US" w:eastAsia="zh-CN"/>
              </w:rPr>
              <w:t>和砖</w:t>
            </w:r>
            <w:r>
              <w:rPr>
                <w:bCs/>
                <w:color w:val="auto"/>
                <w:highlight w:val="none"/>
              </w:rPr>
              <w:t>试验方法》GB/T 4111的有关规定执行。</w:t>
            </w:r>
          </w:p>
        </w:tc>
      </w:tr>
      <w:tr w14:paraId="77D16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686" w:type="dxa"/>
            <w:shd w:val="clear" w:color="auto" w:fill="auto"/>
            <w:vAlign w:val="center"/>
          </w:tcPr>
          <w:p w14:paraId="23EE207C">
            <w:pPr>
              <w:keepNext w:val="0"/>
              <w:keepLines w:val="0"/>
              <w:pageBreakBefore w:val="0"/>
              <w:widowControl w:val="0"/>
              <w:kinsoku/>
              <w:wordWrap/>
              <w:overflowPunct/>
              <w:topLinePunct w:val="0"/>
              <w:bidi w:val="0"/>
              <w:spacing w:line="360" w:lineRule="auto"/>
              <w:textAlignment w:val="auto"/>
              <w:outlineLvl w:val="9"/>
              <w:rPr>
                <w:rFonts w:hint="eastAsia" w:ascii="Times New Roman" w:hAnsi="Times New Roman" w:eastAsia="宋体" w:cs="Times New Roman"/>
                <w:bCs/>
                <w:kern w:val="2"/>
                <w:sz w:val="21"/>
                <w:szCs w:val="21"/>
                <w:lang w:val="en-US" w:eastAsia="zh-CN" w:bidi="ar-SA"/>
              </w:rPr>
            </w:pPr>
            <w:r>
              <w:rPr>
                <w:b/>
                <w:bCs/>
                <w:color w:val="auto"/>
                <w:highlight w:val="none"/>
              </w:rPr>
              <w:t xml:space="preserve">10.2.5  </w:t>
            </w:r>
            <w:r>
              <w:rPr>
                <w:bCs/>
                <w:color w:val="auto"/>
                <w:highlight w:val="none"/>
              </w:rPr>
              <w:t>混凝土小型空心砌块砌筑砂浆试验方法应按现行行业标准《混凝土小型空心砌块砌筑砂浆》JC 860的有关规定执行。</w:t>
            </w:r>
          </w:p>
        </w:tc>
        <w:tc>
          <w:tcPr>
            <w:tcW w:w="4716" w:type="dxa"/>
            <w:shd w:val="clear" w:color="auto" w:fill="auto"/>
            <w:vAlign w:val="center"/>
          </w:tcPr>
          <w:p w14:paraId="61CB2F5C">
            <w:pPr>
              <w:keepNext w:val="0"/>
              <w:keepLines w:val="0"/>
              <w:pageBreakBefore w:val="0"/>
              <w:widowControl w:val="0"/>
              <w:kinsoku/>
              <w:wordWrap/>
              <w:overflowPunct/>
              <w:topLinePunct w:val="0"/>
              <w:bidi w:val="0"/>
              <w:spacing w:line="360" w:lineRule="auto"/>
              <w:textAlignment w:val="auto"/>
              <w:outlineLvl w:val="9"/>
              <w:rPr>
                <w:rFonts w:ascii="Times New Roman" w:hAnsi="Times New Roman" w:eastAsia="宋体" w:cs="Times New Roman"/>
                <w:bCs/>
                <w:kern w:val="2"/>
                <w:sz w:val="21"/>
                <w:szCs w:val="21"/>
                <w:lang w:val="en-US" w:eastAsia="zh-CN" w:bidi="ar-SA"/>
              </w:rPr>
            </w:pPr>
            <w:r>
              <w:rPr>
                <w:b/>
                <w:bCs/>
                <w:color w:val="auto"/>
                <w:highlight w:val="none"/>
              </w:rPr>
              <w:t xml:space="preserve">10.2.5  </w:t>
            </w:r>
            <w:r>
              <w:rPr>
                <w:bCs/>
                <w:color w:val="auto"/>
                <w:highlight w:val="none"/>
              </w:rPr>
              <w:t>混凝土小型空心砌块砌筑砂浆试验方法应按现行行业标准《混凝土小型空心砌块</w:t>
            </w:r>
            <w:r>
              <w:rPr>
                <w:rFonts w:hint="eastAsia"/>
                <w:bCs/>
                <w:color w:val="auto"/>
                <w:highlight w:val="none"/>
                <w:u w:val="single"/>
                <w:lang w:val="en-US" w:eastAsia="zh-CN"/>
              </w:rPr>
              <w:t>和混凝土砖</w:t>
            </w:r>
            <w:r>
              <w:rPr>
                <w:bCs/>
                <w:color w:val="auto"/>
                <w:highlight w:val="none"/>
              </w:rPr>
              <w:t>砌筑砂浆》JC</w:t>
            </w:r>
            <w:r>
              <w:rPr>
                <w:rFonts w:hint="eastAsia"/>
                <w:bCs/>
                <w:color w:val="auto"/>
                <w:highlight w:val="none"/>
                <w:u w:val="single"/>
                <w:lang w:val="en-US" w:eastAsia="zh-CN"/>
              </w:rPr>
              <w:t>/T</w:t>
            </w:r>
            <w:r>
              <w:rPr>
                <w:bCs/>
                <w:color w:val="auto"/>
                <w:highlight w:val="none"/>
              </w:rPr>
              <w:t xml:space="preserve"> 860的有关规定执行。</w:t>
            </w:r>
          </w:p>
        </w:tc>
      </w:tr>
      <w:tr w14:paraId="3C7C14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686" w:type="dxa"/>
            <w:shd w:val="clear" w:color="auto" w:fill="auto"/>
            <w:vAlign w:val="center"/>
          </w:tcPr>
          <w:p w14:paraId="69C082DC">
            <w:pPr>
              <w:keepNext w:val="0"/>
              <w:keepLines w:val="0"/>
              <w:pageBreakBefore w:val="0"/>
              <w:widowControl w:val="0"/>
              <w:kinsoku/>
              <w:wordWrap/>
              <w:overflowPunct/>
              <w:topLinePunct w:val="0"/>
              <w:bidi w:val="0"/>
              <w:spacing w:line="360" w:lineRule="auto"/>
              <w:textAlignment w:val="auto"/>
              <w:outlineLvl w:val="9"/>
              <w:rPr>
                <w:rFonts w:hint="eastAsia" w:ascii="Times New Roman" w:hAnsi="Times New Roman" w:eastAsia="宋体" w:cs="Times New Roman"/>
                <w:bCs/>
                <w:kern w:val="2"/>
                <w:sz w:val="21"/>
                <w:szCs w:val="21"/>
                <w:lang w:val="en-US" w:eastAsia="zh-CN" w:bidi="ar-SA"/>
              </w:rPr>
            </w:pPr>
            <w:r>
              <w:rPr>
                <w:b/>
                <w:bCs/>
                <w:color w:val="auto"/>
                <w:highlight w:val="none"/>
              </w:rPr>
              <w:t xml:space="preserve">10.2.6  </w:t>
            </w:r>
            <w:r>
              <w:rPr>
                <w:bCs/>
                <w:color w:val="auto"/>
                <w:highlight w:val="none"/>
              </w:rPr>
              <w:t>蒸压加气混凝土砌筑砂浆与抹面砂浆的基本性能试验方法应按现行行业标准《蒸压加气混凝土用砌筑砂浆与抹面砂浆》JC 890的有关规定执行。</w:t>
            </w:r>
          </w:p>
        </w:tc>
        <w:tc>
          <w:tcPr>
            <w:tcW w:w="4716" w:type="dxa"/>
            <w:shd w:val="clear" w:color="auto" w:fill="auto"/>
            <w:vAlign w:val="center"/>
          </w:tcPr>
          <w:p w14:paraId="3855DC76">
            <w:pPr>
              <w:keepNext w:val="0"/>
              <w:keepLines w:val="0"/>
              <w:pageBreakBefore w:val="0"/>
              <w:widowControl w:val="0"/>
              <w:kinsoku/>
              <w:wordWrap/>
              <w:overflowPunct/>
              <w:topLinePunct w:val="0"/>
              <w:bidi w:val="0"/>
              <w:spacing w:line="360" w:lineRule="auto"/>
              <w:textAlignment w:val="auto"/>
              <w:outlineLvl w:val="9"/>
              <w:rPr>
                <w:rFonts w:ascii="Times New Roman" w:hAnsi="Times New Roman" w:eastAsia="宋体" w:cs="Times New Roman"/>
                <w:bCs/>
                <w:kern w:val="2"/>
                <w:sz w:val="21"/>
                <w:szCs w:val="21"/>
                <w:lang w:val="en-US" w:eastAsia="zh-CN" w:bidi="ar-SA"/>
              </w:rPr>
            </w:pPr>
            <w:r>
              <w:rPr>
                <w:b/>
                <w:bCs/>
                <w:color w:val="auto"/>
                <w:highlight w:val="none"/>
              </w:rPr>
              <w:t xml:space="preserve">10.2.6  </w:t>
            </w:r>
            <w:r>
              <w:rPr>
                <w:bCs/>
                <w:color w:val="auto"/>
                <w:highlight w:val="none"/>
              </w:rPr>
              <w:t>蒸压加气混凝土砌筑砂浆与抹面砂浆的基本性能试验方法应按现行行业标准《蒸压加气混凝土</w:t>
            </w:r>
            <w:r>
              <w:rPr>
                <w:rFonts w:hint="eastAsia"/>
                <w:bCs/>
                <w:color w:val="auto"/>
                <w:highlight w:val="none"/>
                <w:u w:val="single"/>
                <w:lang w:val="en-US" w:eastAsia="zh-CN"/>
              </w:rPr>
              <w:t>墙体专</w:t>
            </w:r>
            <w:r>
              <w:rPr>
                <w:bCs/>
                <w:color w:val="auto"/>
                <w:highlight w:val="none"/>
              </w:rPr>
              <w:t>用</w:t>
            </w:r>
            <w:r>
              <w:rPr>
                <w:bCs/>
                <w:color w:val="auto"/>
                <w:highlight w:val="none"/>
                <w:bdr w:val="single" w:color="000000" w:sz="4" w:space="0"/>
              </w:rPr>
              <w:t>砌筑砂浆与抹面</w:t>
            </w:r>
            <w:r>
              <w:rPr>
                <w:bCs/>
                <w:color w:val="auto"/>
                <w:highlight w:val="none"/>
              </w:rPr>
              <w:t>砂浆》JC</w:t>
            </w:r>
            <w:r>
              <w:rPr>
                <w:rFonts w:hint="eastAsia"/>
                <w:bCs/>
                <w:color w:val="auto"/>
                <w:highlight w:val="none"/>
                <w:u w:val="single"/>
                <w:lang w:val="en-US" w:eastAsia="zh-CN"/>
              </w:rPr>
              <w:t>/T</w:t>
            </w:r>
            <w:r>
              <w:rPr>
                <w:bCs/>
                <w:color w:val="auto"/>
                <w:highlight w:val="none"/>
              </w:rPr>
              <w:t xml:space="preserve"> 890的有关规定执行。</w:t>
            </w:r>
          </w:p>
        </w:tc>
      </w:tr>
      <w:tr w14:paraId="12B8D0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686" w:type="dxa"/>
            <w:shd w:val="clear" w:color="auto" w:fill="auto"/>
            <w:vAlign w:val="center"/>
          </w:tcPr>
          <w:p w14:paraId="091DBBAD">
            <w:pPr>
              <w:keepNext w:val="0"/>
              <w:keepLines w:val="0"/>
              <w:pageBreakBefore w:val="0"/>
              <w:widowControl w:val="0"/>
              <w:kinsoku/>
              <w:wordWrap/>
              <w:overflowPunct/>
              <w:topLinePunct w:val="0"/>
              <w:bidi w:val="0"/>
              <w:spacing w:line="360" w:lineRule="auto"/>
              <w:textAlignment w:val="auto"/>
              <w:outlineLvl w:val="9"/>
              <w:rPr>
                <w:rFonts w:hint="eastAsia" w:ascii="Times New Roman" w:hAnsi="Times New Roman" w:eastAsia="宋体" w:cs="Times New Roman"/>
                <w:bCs/>
                <w:kern w:val="2"/>
                <w:sz w:val="21"/>
                <w:szCs w:val="21"/>
                <w:lang w:val="en-US" w:eastAsia="zh-CN" w:bidi="ar-SA"/>
              </w:rPr>
            </w:pPr>
            <w:r>
              <w:rPr>
                <w:b/>
                <w:bCs/>
                <w:color w:val="auto"/>
                <w:highlight w:val="none"/>
              </w:rPr>
              <w:t>10.2.11</w:t>
            </w:r>
            <w:r>
              <w:rPr>
                <w:bCs/>
                <w:color w:val="auto"/>
                <w:highlight w:val="none"/>
              </w:rPr>
              <w:t xml:space="preserve"> 混凝土小型空心砌块灌孔混凝土试验方法应按现行行业标准《混凝土小型空心砌块灌孔混凝土》JC 861的有关规定执行。</w:t>
            </w:r>
          </w:p>
        </w:tc>
        <w:tc>
          <w:tcPr>
            <w:tcW w:w="4716" w:type="dxa"/>
            <w:shd w:val="clear" w:color="auto" w:fill="auto"/>
            <w:vAlign w:val="center"/>
          </w:tcPr>
          <w:p w14:paraId="554BE5B0">
            <w:pPr>
              <w:keepNext w:val="0"/>
              <w:keepLines w:val="0"/>
              <w:pageBreakBefore w:val="0"/>
              <w:widowControl w:val="0"/>
              <w:kinsoku/>
              <w:wordWrap/>
              <w:overflowPunct/>
              <w:topLinePunct w:val="0"/>
              <w:bidi w:val="0"/>
              <w:spacing w:line="360" w:lineRule="auto"/>
              <w:textAlignment w:val="auto"/>
              <w:outlineLvl w:val="9"/>
              <w:rPr>
                <w:rFonts w:ascii="Times New Roman" w:hAnsi="Times New Roman" w:eastAsia="宋体" w:cs="Times New Roman"/>
                <w:bCs/>
                <w:kern w:val="2"/>
                <w:sz w:val="21"/>
                <w:szCs w:val="21"/>
                <w:lang w:val="en-US" w:eastAsia="zh-CN" w:bidi="ar-SA"/>
              </w:rPr>
            </w:pPr>
            <w:r>
              <w:rPr>
                <w:b/>
                <w:bCs/>
                <w:color w:val="auto"/>
                <w:highlight w:val="none"/>
              </w:rPr>
              <w:t>10.2.11</w:t>
            </w:r>
            <w:r>
              <w:rPr>
                <w:bCs/>
                <w:color w:val="auto"/>
                <w:highlight w:val="none"/>
              </w:rPr>
              <w:t xml:space="preserve"> 混凝土小型空心砌块灌孔混凝土试验方法应按现行行业标准《混凝土</w:t>
            </w:r>
            <w:r>
              <w:rPr>
                <w:bCs/>
                <w:color w:val="auto"/>
                <w:highlight w:val="none"/>
                <w:bdr w:val="single" w:color="000000" w:sz="4" w:space="0"/>
              </w:rPr>
              <w:t>小型空心</w:t>
            </w:r>
            <w:r>
              <w:rPr>
                <w:bCs/>
                <w:color w:val="auto"/>
                <w:highlight w:val="none"/>
              </w:rPr>
              <w:t>砌块</w:t>
            </w:r>
            <w:r>
              <w:rPr>
                <w:rFonts w:hint="eastAsia"/>
                <w:bCs/>
                <w:color w:val="auto"/>
                <w:highlight w:val="none"/>
                <w:u w:val="single"/>
                <w:lang w:eastAsia="zh-CN"/>
              </w:rPr>
              <w:t>（</w:t>
            </w:r>
            <w:r>
              <w:rPr>
                <w:rFonts w:hint="eastAsia"/>
                <w:bCs/>
                <w:color w:val="auto"/>
                <w:highlight w:val="none"/>
                <w:u w:val="single"/>
                <w:lang w:val="en-US" w:eastAsia="zh-CN"/>
              </w:rPr>
              <w:t>砖</w:t>
            </w:r>
            <w:r>
              <w:rPr>
                <w:rFonts w:hint="eastAsia"/>
                <w:bCs/>
                <w:color w:val="auto"/>
                <w:highlight w:val="none"/>
                <w:u w:val="single"/>
                <w:lang w:eastAsia="zh-CN"/>
              </w:rPr>
              <w:t>）</w:t>
            </w:r>
            <w:r>
              <w:rPr>
                <w:rFonts w:hint="eastAsia"/>
                <w:bCs/>
                <w:color w:val="auto"/>
                <w:highlight w:val="none"/>
                <w:u w:val="single"/>
                <w:lang w:val="en-US" w:eastAsia="zh-CN"/>
              </w:rPr>
              <w:t>砌体用</w:t>
            </w:r>
            <w:r>
              <w:rPr>
                <w:bCs/>
                <w:color w:val="auto"/>
                <w:highlight w:val="none"/>
              </w:rPr>
              <w:t>灌孔混凝土》JC</w:t>
            </w:r>
            <w:r>
              <w:rPr>
                <w:rFonts w:hint="eastAsia"/>
                <w:bCs/>
                <w:color w:val="auto"/>
                <w:highlight w:val="none"/>
                <w:u w:val="single"/>
                <w:lang w:val="en-US" w:eastAsia="zh-CN"/>
              </w:rPr>
              <w:t>/T</w:t>
            </w:r>
            <w:r>
              <w:rPr>
                <w:bCs/>
                <w:color w:val="auto"/>
                <w:highlight w:val="none"/>
              </w:rPr>
              <w:t xml:space="preserve"> 861的有关规定执行。</w:t>
            </w:r>
          </w:p>
        </w:tc>
      </w:tr>
      <w:tr w14:paraId="59298C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686" w:type="dxa"/>
            <w:shd w:val="clear" w:color="auto" w:fill="auto"/>
            <w:vAlign w:val="center"/>
          </w:tcPr>
          <w:p w14:paraId="66B0CB70">
            <w:pPr>
              <w:keepNext w:val="0"/>
              <w:keepLines w:val="0"/>
              <w:pageBreakBefore w:val="0"/>
              <w:widowControl w:val="0"/>
              <w:kinsoku/>
              <w:wordWrap/>
              <w:overflowPunct/>
              <w:topLinePunct w:val="0"/>
              <w:bidi w:val="0"/>
              <w:spacing w:line="360" w:lineRule="auto"/>
              <w:textAlignment w:val="auto"/>
              <w:rPr>
                <w:rFonts w:hint="eastAsia" w:ascii="Times New Roman" w:hAnsi="Times New Roman" w:eastAsia="宋体" w:cs="Times New Roman"/>
                <w:bCs/>
                <w:kern w:val="2"/>
                <w:sz w:val="21"/>
                <w:szCs w:val="21"/>
                <w:lang w:val="en-US" w:eastAsia="zh-CN" w:bidi="ar-SA"/>
              </w:rPr>
            </w:pPr>
            <w:r>
              <w:rPr>
                <w:b/>
                <w:bCs/>
                <w:color w:val="auto"/>
                <w:highlight w:val="none"/>
              </w:rPr>
              <w:t xml:space="preserve">10.3.1  </w:t>
            </w:r>
            <w:r>
              <w:rPr>
                <w:bCs/>
                <w:color w:val="auto"/>
                <w:highlight w:val="none"/>
              </w:rPr>
              <w:t>砌体的力学性能</w:t>
            </w:r>
            <w:r>
              <w:rPr>
                <w:rFonts w:hint="eastAsia"/>
                <w:bCs/>
                <w:color w:val="auto"/>
                <w:highlight w:val="none"/>
                <w:u w:val="single"/>
                <w:lang w:eastAsia="zh-CN"/>
              </w:rPr>
              <w:t>的</w:t>
            </w:r>
            <w:r>
              <w:rPr>
                <w:bCs/>
                <w:color w:val="auto"/>
                <w:highlight w:val="none"/>
              </w:rPr>
              <w:t>试验方法应按现行国家标准《砌体基本力学性能试验方法标准》GBJ 129的有关规定执行。</w:t>
            </w:r>
          </w:p>
        </w:tc>
        <w:tc>
          <w:tcPr>
            <w:tcW w:w="4716" w:type="dxa"/>
            <w:shd w:val="clear" w:color="auto" w:fill="auto"/>
            <w:vAlign w:val="center"/>
          </w:tcPr>
          <w:p w14:paraId="3204B634">
            <w:pPr>
              <w:keepNext w:val="0"/>
              <w:keepLines w:val="0"/>
              <w:pageBreakBefore w:val="0"/>
              <w:widowControl w:val="0"/>
              <w:kinsoku/>
              <w:wordWrap/>
              <w:overflowPunct/>
              <w:topLinePunct w:val="0"/>
              <w:autoSpaceDE/>
              <w:autoSpaceDN/>
              <w:bidi w:val="0"/>
              <w:adjustRightInd/>
              <w:snapToGrid/>
              <w:spacing w:line="360" w:lineRule="auto"/>
              <w:textAlignment w:val="auto"/>
              <w:rPr>
                <w:rFonts w:ascii="Times New Roman" w:hAnsi="Times New Roman" w:eastAsia="宋体" w:cs="Times New Roman"/>
                <w:bCs/>
                <w:kern w:val="2"/>
                <w:sz w:val="21"/>
                <w:szCs w:val="21"/>
                <w:lang w:val="en-US" w:eastAsia="zh-CN" w:bidi="ar-SA"/>
              </w:rPr>
            </w:pPr>
            <w:r>
              <w:rPr>
                <w:b/>
                <w:bCs/>
                <w:color w:val="auto"/>
                <w:highlight w:val="none"/>
              </w:rPr>
              <w:t xml:space="preserve">10.3.1  </w:t>
            </w:r>
            <w:r>
              <w:rPr>
                <w:bCs/>
                <w:color w:val="auto"/>
                <w:highlight w:val="none"/>
              </w:rPr>
              <w:t>砌体</w:t>
            </w:r>
            <w:r>
              <w:rPr>
                <w:bCs/>
                <w:color w:val="auto"/>
                <w:highlight w:val="none"/>
                <w:bdr w:val="single" w:color="000000" w:sz="4" w:space="0"/>
              </w:rPr>
              <w:t>的</w:t>
            </w:r>
            <w:r>
              <w:rPr>
                <w:rFonts w:hint="eastAsia"/>
                <w:bCs/>
                <w:color w:val="auto"/>
                <w:highlight w:val="none"/>
                <w:u w:val="single"/>
                <w:lang w:val="en-US" w:eastAsia="zh-CN"/>
              </w:rPr>
              <w:t>基本</w:t>
            </w:r>
            <w:r>
              <w:rPr>
                <w:bCs/>
                <w:color w:val="auto"/>
                <w:highlight w:val="none"/>
              </w:rPr>
              <w:t>力学性能</w:t>
            </w:r>
            <w:r>
              <w:rPr>
                <w:rFonts w:hint="eastAsia"/>
                <w:bCs/>
                <w:color w:val="auto"/>
                <w:highlight w:val="none"/>
                <w:u w:val="single"/>
                <w:lang w:eastAsia="zh-CN"/>
              </w:rPr>
              <w:t>的</w:t>
            </w:r>
            <w:r>
              <w:rPr>
                <w:bCs/>
                <w:color w:val="auto"/>
                <w:highlight w:val="none"/>
              </w:rPr>
              <w:t>试验方法应按现行国家标准《砌体基本力学性能试验方法标准》GB</w:t>
            </w:r>
            <w:r>
              <w:rPr>
                <w:bCs/>
                <w:color w:val="auto"/>
                <w:highlight w:val="none"/>
                <w:bdr w:val="single" w:color="000000" w:sz="4" w:space="0"/>
              </w:rPr>
              <w:t>J</w:t>
            </w:r>
            <w:r>
              <w:rPr>
                <w:rFonts w:hint="eastAsia"/>
                <w:bCs/>
                <w:color w:val="auto"/>
                <w:highlight w:val="none"/>
                <w:u w:val="single"/>
                <w:lang w:val="en-US" w:eastAsia="zh-CN"/>
              </w:rPr>
              <w:t>/T</w:t>
            </w:r>
            <w:r>
              <w:rPr>
                <w:bCs/>
                <w:color w:val="auto"/>
                <w:highlight w:val="none"/>
              </w:rPr>
              <w:t xml:space="preserve"> 129</w:t>
            </w:r>
            <w:bookmarkStart w:id="17" w:name="OLE_LINK1"/>
            <w:r>
              <w:rPr>
                <w:bCs/>
                <w:color w:val="auto"/>
                <w:highlight w:val="none"/>
              </w:rPr>
              <w:t>的有关规定</w:t>
            </w:r>
            <w:bookmarkEnd w:id="17"/>
            <w:r>
              <w:rPr>
                <w:bCs/>
                <w:color w:val="auto"/>
                <w:highlight w:val="none"/>
              </w:rPr>
              <w:t>执行。</w:t>
            </w:r>
          </w:p>
        </w:tc>
      </w:tr>
      <w:tr w14:paraId="7F777D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686" w:type="dxa"/>
            <w:shd w:val="clear" w:color="auto" w:fill="auto"/>
            <w:vAlign w:val="center"/>
          </w:tcPr>
          <w:p w14:paraId="719641B3">
            <w:pPr>
              <w:keepNext w:val="0"/>
              <w:keepLines w:val="0"/>
              <w:pageBreakBefore w:val="0"/>
              <w:widowControl w:val="0"/>
              <w:kinsoku/>
              <w:wordWrap/>
              <w:overflowPunct/>
              <w:topLinePunct w:val="0"/>
              <w:bidi w:val="0"/>
              <w:spacing w:line="360" w:lineRule="auto"/>
              <w:textAlignment w:val="auto"/>
              <w:outlineLvl w:val="9"/>
              <w:rPr>
                <w:rFonts w:hint="eastAsia" w:ascii="Times New Roman" w:hAnsi="Times New Roman" w:eastAsia="宋体" w:cs="Times New Roman"/>
                <w:bCs/>
                <w:kern w:val="2"/>
                <w:sz w:val="21"/>
                <w:szCs w:val="21"/>
                <w:lang w:val="en-US" w:eastAsia="zh-CN" w:bidi="ar-SA"/>
              </w:rPr>
            </w:pPr>
            <w:r>
              <w:rPr>
                <w:b/>
                <w:bCs/>
                <w:color w:val="auto"/>
                <w:highlight w:val="none"/>
              </w:rPr>
              <w:t xml:space="preserve">10.4.2  </w:t>
            </w:r>
            <w:r>
              <w:rPr>
                <w:bCs/>
                <w:color w:val="auto"/>
                <w:highlight w:val="none"/>
              </w:rPr>
              <w:t>节能保温复合墙体的原型系统试验，应包括系统构</w:t>
            </w:r>
            <w:r>
              <w:rPr>
                <w:rFonts w:hint="eastAsia"/>
                <w:bCs/>
                <w:color w:val="auto"/>
                <w:highlight w:val="none"/>
                <w:u w:val="single"/>
                <w:lang w:val="en-US" w:eastAsia="zh-CN"/>
              </w:rPr>
              <w:t>组</w:t>
            </w:r>
            <w:r>
              <w:rPr>
                <w:bCs/>
                <w:color w:val="auto"/>
                <w:highlight w:val="none"/>
              </w:rPr>
              <w:t>成的材料质量、保温层厚度传热系数及耐候性</w:t>
            </w:r>
            <w:r>
              <w:rPr>
                <w:rFonts w:hint="eastAsia"/>
                <w:bCs/>
                <w:color w:val="auto"/>
                <w:highlight w:val="none"/>
                <w:u w:val="single"/>
                <w:lang w:val="en-US" w:eastAsia="zh-CN"/>
              </w:rPr>
              <w:t>能</w:t>
            </w:r>
            <w:r>
              <w:rPr>
                <w:bCs/>
                <w:color w:val="auto"/>
                <w:highlight w:val="none"/>
              </w:rPr>
              <w:t>等试验。</w:t>
            </w:r>
          </w:p>
        </w:tc>
        <w:tc>
          <w:tcPr>
            <w:tcW w:w="4716" w:type="dxa"/>
            <w:shd w:val="clear" w:color="auto" w:fill="auto"/>
            <w:vAlign w:val="center"/>
          </w:tcPr>
          <w:p w14:paraId="00D825D2">
            <w:pPr>
              <w:keepNext w:val="0"/>
              <w:keepLines w:val="0"/>
              <w:pageBreakBefore w:val="0"/>
              <w:widowControl w:val="0"/>
              <w:kinsoku/>
              <w:wordWrap/>
              <w:overflowPunct/>
              <w:topLinePunct w:val="0"/>
              <w:bidi w:val="0"/>
              <w:spacing w:line="360" w:lineRule="auto"/>
              <w:textAlignment w:val="auto"/>
              <w:outlineLvl w:val="9"/>
              <w:rPr>
                <w:rFonts w:ascii="Times New Roman" w:hAnsi="Times New Roman" w:eastAsia="宋体" w:cs="Times New Roman"/>
                <w:bCs/>
                <w:kern w:val="2"/>
                <w:sz w:val="21"/>
                <w:szCs w:val="21"/>
                <w:lang w:val="en-US" w:eastAsia="zh-CN" w:bidi="ar-SA"/>
              </w:rPr>
            </w:pPr>
            <w:bookmarkStart w:id="18" w:name="_Hlk180480831"/>
            <w:r>
              <w:rPr>
                <w:b/>
                <w:bCs/>
                <w:color w:val="auto"/>
                <w:highlight w:val="none"/>
              </w:rPr>
              <w:t xml:space="preserve">10.4.2  </w:t>
            </w:r>
            <w:r>
              <w:rPr>
                <w:bCs/>
                <w:color w:val="auto"/>
                <w:highlight w:val="none"/>
              </w:rPr>
              <w:t>节能保温复合墙体的原型系统试验，应包括系统</w:t>
            </w:r>
            <w:r>
              <w:rPr>
                <w:bCs/>
                <w:color w:val="auto"/>
                <w:highlight w:val="none"/>
                <w:bdr w:val="single" w:color="000000" w:sz="4" w:space="0"/>
              </w:rPr>
              <w:t>构</w:t>
            </w:r>
            <w:r>
              <w:rPr>
                <w:rFonts w:hint="eastAsia"/>
                <w:bCs/>
                <w:color w:val="auto"/>
                <w:highlight w:val="none"/>
                <w:u w:val="single"/>
                <w:lang w:val="en-US" w:eastAsia="zh-CN"/>
              </w:rPr>
              <w:t>组</w:t>
            </w:r>
            <w:r>
              <w:rPr>
                <w:bCs/>
                <w:color w:val="auto"/>
                <w:highlight w:val="none"/>
              </w:rPr>
              <w:t>成的材料</w:t>
            </w:r>
            <w:r>
              <w:rPr>
                <w:bCs/>
                <w:color w:val="auto"/>
                <w:highlight w:val="none"/>
                <w:bdr w:val="single" w:color="000000" w:sz="4" w:space="0"/>
              </w:rPr>
              <w:t>质量</w:t>
            </w:r>
            <w:r>
              <w:rPr>
                <w:rFonts w:hint="eastAsia"/>
                <w:bCs/>
                <w:color w:val="auto"/>
                <w:highlight w:val="none"/>
                <w:u w:val="single"/>
                <w:lang w:val="en-US" w:eastAsia="zh-CN"/>
              </w:rPr>
              <w:t>性能检测</w:t>
            </w:r>
            <w:r>
              <w:rPr>
                <w:bCs/>
                <w:color w:val="auto"/>
                <w:highlight w:val="none"/>
              </w:rPr>
              <w:t>、保温层厚度</w:t>
            </w:r>
            <w:r>
              <w:rPr>
                <w:rFonts w:hint="eastAsia"/>
                <w:bCs/>
                <w:color w:val="auto"/>
                <w:highlight w:val="none"/>
                <w:u w:val="single"/>
                <w:lang w:val="en-US" w:eastAsia="zh-CN"/>
              </w:rPr>
              <w:t>检查</w:t>
            </w:r>
            <w:r>
              <w:rPr>
                <w:bCs/>
                <w:color w:val="auto"/>
                <w:highlight w:val="none"/>
              </w:rPr>
              <w:t>、</w:t>
            </w:r>
            <w:r>
              <w:rPr>
                <w:rFonts w:hint="eastAsia"/>
                <w:bCs/>
                <w:color w:val="auto"/>
                <w:highlight w:val="none"/>
                <w:u w:val="single"/>
                <w:lang w:val="en-US" w:eastAsia="zh-CN"/>
              </w:rPr>
              <w:t>以及系统</w:t>
            </w:r>
            <w:r>
              <w:rPr>
                <w:bCs/>
                <w:color w:val="auto"/>
                <w:highlight w:val="none"/>
              </w:rPr>
              <w:t>传热系数及耐候性</w:t>
            </w:r>
            <w:r>
              <w:rPr>
                <w:rFonts w:hint="eastAsia"/>
                <w:bCs/>
                <w:color w:val="auto"/>
                <w:highlight w:val="none"/>
                <w:u w:val="single"/>
                <w:lang w:val="en-US" w:eastAsia="zh-CN"/>
              </w:rPr>
              <w:t>能</w:t>
            </w:r>
            <w:r>
              <w:rPr>
                <w:bCs/>
                <w:color w:val="auto"/>
                <w:highlight w:val="none"/>
              </w:rPr>
              <w:t>等试验。</w:t>
            </w:r>
            <w:bookmarkEnd w:id="18"/>
          </w:p>
        </w:tc>
      </w:tr>
      <w:tr w14:paraId="48B074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686" w:type="dxa"/>
            <w:shd w:val="clear" w:color="auto" w:fill="auto"/>
            <w:vAlign w:val="center"/>
          </w:tcPr>
          <w:p w14:paraId="73CA6C91">
            <w:pPr>
              <w:keepNext w:val="0"/>
              <w:keepLines w:val="0"/>
              <w:pageBreakBefore w:val="0"/>
              <w:widowControl w:val="0"/>
              <w:kinsoku/>
              <w:wordWrap/>
              <w:overflowPunct/>
              <w:topLinePunct w:val="0"/>
              <w:autoSpaceDE w:val="0"/>
              <w:autoSpaceDN w:val="0"/>
              <w:bidi w:val="0"/>
              <w:adjustRightInd w:val="0"/>
              <w:snapToGrid w:val="0"/>
              <w:spacing w:line="360" w:lineRule="auto"/>
              <w:jc w:val="left"/>
              <w:textAlignment w:val="auto"/>
              <w:outlineLvl w:val="9"/>
              <w:rPr>
                <w:rFonts w:hint="eastAsia" w:ascii="Times New Roman" w:hAnsi="Times New Roman" w:eastAsia="宋体" w:cs="Times New Roman"/>
                <w:bCs/>
                <w:kern w:val="2"/>
                <w:sz w:val="21"/>
                <w:szCs w:val="21"/>
                <w:lang w:val="en-US" w:eastAsia="zh-CN" w:bidi="ar-SA"/>
              </w:rPr>
            </w:pPr>
            <w:r>
              <w:rPr>
                <w:b/>
                <w:bCs/>
                <w:color w:val="auto"/>
                <w:highlight w:val="none"/>
              </w:rPr>
              <w:t xml:space="preserve">10.4.3  </w:t>
            </w:r>
            <w:r>
              <w:rPr>
                <w:bCs/>
                <w:color w:val="auto"/>
                <w:highlight w:val="none"/>
              </w:rPr>
              <w:t>墙体的抗震试验方法应按现行行业标准《建筑抗震试验方法规程》JGJ 101的有关规定执行。</w:t>
            </w:r>
          </w:p>
        </w:tc>
        <w:tc>
          <w:tcPr>
            <w:tcW w:w="4716" w:type="dxa"/>
            <w:shd w:val="clear" w:color="auto" w:fill="auto"/>
            <w:vAlign w:val="center"/>
          </w:tcPr>
          <w:p w14:paraId="6F53B4D9">
            <w:pPr>
              <w:keepNext w:val="0"/>
              <w:keepLines w:val="0"/>
              <w:pageBreakBefore w:val="0"/>
              <w:widowControl w:val="0"/>
              <w:kinsoku/>
              <w:wordWrap/>
              <w:overflowPunct/>
              <w:topLinePunct w:val="0"/>
              <w:autoSpaceDE w:val="0"/>
              <w:autoSpaceDN w:val="0"/>
              <w:bidi w:val="0"/>
              <w:adjustRightInd w:val="0"/>
              <w:snapToGrid w:val="0"/>
              <w:spacing w:line="360" w:lineRule="auto"/>
              <w:jc w:val="left"/>
              <w:textAlignment w:val="auto"/>
              <w:outlineLvl w:val="9"/>
              <w:rPr>
                <w:rFonts w:ascii="Times New Roman" w:hAnsi="Times New Roman" w:eastAsia="宋体" w:cs="Times New Roman"/>
                <w:bCs/>
                <w:kern w:val="2"/>
                <w:sz w:val="21"/>
                <w:szCs w:val="21"/>
                <w:lang w:val="en-US" w:eastAsia="zh-CN" w:bidi="ar-SA"/>
              </w:rPr>
            </w:pPr>
            <w:r>
              <w:rPr>
                <w:b/>
                <w:bCs/>
                <w:color w:val="auto"/>
                <w:highlight w:val="none"/>
              </w:rPr>
              <w:t xml:space="preserve">10.4.3  </w:t>
            </w:r>
            <w:r>
              <w:rPr>
                <w:bCs/>
                <w:color w:val="auto"/>
                <w:highlight w:val="none"/>
              </w:rPr>
              <w:t>墙体的抗震试验方法应按现行行业标准《建筑抗震试验方法规程》JGJ</w:t>
            </w:r>
            <w:r>
              <w:rPr>
                <w:rFonts w:hint="eastAsia"/>
                <w:bCs/>
                <w:color w:val="auto"/>
                <w:highlight w:val="none"/>
                <w:u w:val="single"/>
                <w:lang w:val="en-US" w:eastAsia="zh-CN"/>
              </w:rPr>
              <w:t>/T</w:t>
            </w:r>
            <w:r>
              <w:rPr>
                <w:bCs/>
                <w:color w:val="auto"/>
                <w:highlight w:val="none"/>
              </w:rPr>
              <w:t xml:space="preserve"> 101的有关规定执行。</w:t>
            </w:r>
          </w:p>
        </w:tc>
      </w:tr>
    </w:tbl>
    <w:p w14:paraId="2E97B5C6">
      <w:r>
        <w:br w:type="page"/>
      </w:r>
    </w:p>
    <w:tbl>
      <w:tblPr>
        <w:tblStyle w:val="7"/>
        <w:tblW w:w="940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686"/>
        <w:gridCol w:w="4716"/>
      </w:tblGrid>
      <w:tr w14:paraId="407CA5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Header/>
        </w:trPr>
        <w:tc>
          <w:tcPr>
            <w:tcW w:w="4686" w:type="dxa"/>
            <w:vAlign w:val="top"/>
          </w:tcPr>
          <w:p w14:paraId="5016F94A">
            <w:pPr>
              <w:spacing w:before="120" w:beforeLines="50" w:after="120" w:afterLines="50"/>
              <w:jc w:val="center"/>
              <w:rPr>
                <w:rFonts w:ascii="Times New Roman" w:hAnsi="Times New Roman"/>
                <w:b/>
                <w:bCs/>
                <w:szCs w:val="21"/>
              </w:rPr>
            </w:pPr>
            <w:r>
              <w:rPr>
                <w:rFonts w:ascii="Times New Roman" w:hAnsi="Times New Roman"/>
                <w:b/>
                <w:bCs/>
                <w:szCs w:val="21"/>
              </w:rPr>
              <w:t>现行《标准》条文</w:t>
            </w:r>
          </w:p>
        </w:tc>
        <w:tc>
          <w:tcPr>
            <w:tcW w:w="4716" w:type="dxa"/>
          </w:tcPr>
          <w:p w14:paraId="33AC2F6A">
            <w:pPr>
              <w:spacing w:before="120" w:beforeLines="50" w:after="120" w:afterLines="50"/>
              <w:jc w:val="center"/>
              <w:rPr>
                <w:rFonts w:ascii="Times New Roman" w:hAnsi="Times New Roman"/>
                <w:b/>
                <w:bCs/>
                <w:szCs w:val="21"/>
              </w:rPr>
            </w:pPr>
            <w:r>
              <w:rPr>
                <w:rFonts w:ascii="Times New Roman" w:hAnsi="Times New Roman"/>
                <w:b/>
                <w:bCs/>
                <w:szCs w:val="21"/>
              </w:rPr>
              <w:t>局部修订征求意见稿</w:t>
            </w:r>
          </w:p>
        </w:tc>
      </w:tr>
      <w:tr w14:paraId="3732DB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686" w:type="dxa"/>
            <w:shd w:val="clear" w:color="auto" w:fill="auto"/>
            <w:vAlign w:val="top"/>
          </w:tcPr>
          <w:p w14:paraId="7E0A7BE1">
            <w:pPr>
              <w:spacing w:before="120" w:beforeLines="50" w:after="120" w:afterLines="50"/>
              <w:jc w:val="center"/>
              <w:rPr>
                <w:rFonts w:hint="default" w:ascii="Times New Roman" w:hAnsi="Times New Roman" w:eastAsia="宋体" w:cs="Times New Roman"/>
                <w:b/>
                <w:bCs/>
                <w:kern w:val="2"/>
                <w:sz w:val="21"/>
                <w:szCs w:val="21"/>
                <w:lang w:val="en-US" w:eastAsia="zh-CN" w:bidi="ar-SA"/>
              </w:rPr>
            </w:pPr>
            <w:r>
              <w:rPr>
                <w:rFonts w:hint="eastAsia"/>
                <w:b/>
                <w:bCs/>
                <w:szCs w:val="21"/>
                <w:lang w:val="en-US" w:eastAsia="zh-CN"/>
              </w:rPr>
              <w:t>引用标准名录</w:t>
            </w:r>
          </w:p>
        </w:tc>
        <w:tc>
          <w:tcPr>
            <w:tcW w:w="4716" w:type="dxa"/>
            <w:shd w:val="clear" w:color="auto" w:fill="auto"/>
            <w:vAlign w:val="top"/>
          </w:tcPr>
          <w:p w14:paraId="7B3F0734">
            <w:pPr>
              <w:spacing w:before="120" w:beforeLines="50" w:after="120" w:afterLines="50"/>
              <w:jc w:val="center"/>
              <w:rPr>
                <w:rFonts w:hint="default" w:ascii="Times New Roman" w:hAnsi="Times New Roman" w:eastAsia="宋体" w:cs="Times New Roman"/>
                <w:b/>
                <w:bCs/>
                <w:kern w:val="2"/>
                <w:sz w:val="21"/>
                <w:szCs w:val="21"/>
                <w:lang w:val="en-US" w:eastAsia="zh-CN" w:bidi="ar-SA"/>
              </w:rPr>
            </w:pPr>
            <w:r>
              <w:rPr>
                <w:rFonts w:hint="eastAsia"/>
                <w:b/>
                <w:bCs/>
                <w:szCs w:val="21"/>
                <w:lang w:val="en-US" w:eastAsia="zh-CN"/>
              </w:rPr>
              <w:t>引用标准名录</w:t>
            </w:r>
          </w:p>
        </w:tc>
      </w:tr>
      <w:tr w14:paraId="7DA960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686" w:type="dxa"/>
            <w:shd w:val="clear" w:color="auto" w:fill="auto"/>
            <w:vAlign w:val="top"/>
          </w:tcPr>
          <w:p w14:paraId="066A8170">
            <w:pPr>
              <w:keepNext w:val="0"/>
              <w:keepLines w:val="0"/>
              <w:pageBreakBefore w:val="0"/>
              <w:widowControl w:val="0"/>
              <w:kinsoku/>
              <w:wordWrap/>
              <w:overflowPunct/>
              <w:topLinePunct w:val="0"/>
              <w:autoSpaceDE/>
              <w:autoSpaceDN/>
              <w:bidi w:val="0"/>
              <w:adjustRightInd/>
              <w:snapToGrid w:val="0"/>
              <w:spacing w:line="360" w:lineRule="auto"/>
              <w:textAlignment w:val="auto"/>
              <w:outlineLvl w:val="9"/>
              <w:rPr>
                <w:b w:val="0"/>
                <w:bCs/>
                <w:color w:val="auto"/>
                <w:highlight w:val="none"/>
              </w:rPr>
            </w:pPr>
            <w:r>
              <w:rPr>
                <w:b/>
                <w:color w:val="auto"/>
                <w:highlight w:val="none"/>
              </w:rPr>
              <w:t>1</w:t>
            </w:r>
            <w:r>
              <w:rPr>
                <w:b w:val="0"/>
                <w:bCs/>
                <w:color w:val="auto"/>
                <w:highlight w:val="none"/>
              </w:rPr>
              <w:t xml:space="preserve"> 《砌体基本力学性能试验方法标准》GBJ 129</w:t>
            </w:r>
          </w:p>
          <w:p w14:paraId="5B03CFBF">
            <w:pPr>
              <w:keepNext w:val="0"/>
              <w:keepLines w:val="0"/>
              <w:pageBreakBefore w:val="0"/>
              <w:widowControl w:val="0"/>
              <w:kinsoku/>
              <w:wordWrap/>
              <w:overflowPunct/>
              <w:topLinePunct w:val="0"/>
              <w:autoSpaceDE/>
              <w:autoSpaceDN/>
              <w:bidi w:val="0"/>
              <w:adjustRightInd/>
              <w:snapToGrid w:val="0"/>
              <w:spacing w:line="360" w:lineRule="auto"/>
              <w:textAlignment w:val="auto"/>
              <w:outlineLvl w:val="9"/>
              <w:rPr>
                <w:b w:val="0"/>
                <w:bCs/>
                <w:color w:val="auto"/>
                <w:highlight w:val="none"/>
              </w:rPr>
            </w:pPr>
            <w:r>
              <w:rPr>
                <w:b w:val="0"/>
                <w:bCs/>
                <w:color w:val="auto"/>
                <w:highlight w:val="none"/>
              </w:rPr>
              <w:t>2 《粉煤灰混凝土应用技术规范》GBJ 146</w:t>
            </w:r>
          </w:p>
          <w:p w14:paraId="5C3D41F2">
            <w:pPr>
              <w:keepNext w:val="0"/>
              <w:keepLines w:val="0"/>
              <w:pageBreakBefore w:val="0"/>
              <w:widowControl w:val="0"/>
              <w:kinsoku/>
              <w:wordWrap/>
              <w:overflowPunct/>
              <w:topLinePunct w:val="0"/>
              <w:autoSpaceDE/>
              <w:autoSpaceDN/>
              <w:bidi w:val="0"/>
              <w:adjustRightInd/>
              <w:snapToGrid w:val="0"/>
              <w:spacing w:line="360" w:lineRule="auto"/>
              <w:textAlignment w:val="auto"/>
              <w:outlineLvl w:val="9"/>
              <w:rPr>
                <w:b w:val="0"/>
                <w:bCs/>
                <w:color w:val="auto"/>
                <w:highlight w:val="none"/>
              </w:rPr>
            </w:pPr>
            <w:r>
              <w:rPr>
                <w:b w:val="0"/>
                <w:bCs/>
                <w:color w:val="auto"/>
                <w:highlight w:val="none"/>
              </w:rPr>
              <w:t xml:space="preserve">3 《建筑结构可靠度设计统一标准》GB 50068 </w:t>
            </w:r>
          </w:p>
          <w:p w14:paraId="3B01E324">
            <w:pPr>
              <w:keepNext w:val="0"/>
              <w:keepLines w:val="0"/>
              <w:pageBreakBefore w:val="0"/>
              <w:widowControl w:val="0"/>
              <w:kinsoku/>
              <w:wordWrap/>
              <w:overflowPunct/>
              <w:topLinePunct w:val="0"/>
              <w:autoSpaceDE/>
              <w:autoSpaceDN/>
              <w:bidi w:val="0"/>
              <w:adjustRightInd/>
              <w:snapToGrid w:val="0"/>
              <w:spacing w:line="360" w:lineRule="auto"/>
              <w:textAlignment w:val="auto"/>
              <w:outlineLvl w:val="9"/>
              <w:rPr>
                <w:b w:val="0"/>
                <w:bCs/>
                <w:color w:val="auto"/>
                <w:highlight w:val="none"/>
              </w:rPr>
            </w:pPr>
            <w:r>
              <w:rPr>
                <w:b w:val="0"/>
                <w:bCs/>
                <w:color w:val="auto"/>
                <w:highlight w:val="none"/>
              </w:rPr>
              <w:t>4 《民用建筑热工设计规范》GB 50176</w:t>
            </w:r>
          </w:p>
          <w:p w14:paraId="5523894C">
            <w:pPr>
              <w:keepNext w:val="0"/>
              <w:keepLines w:val="0"/>
              <w:pageBreakBefore w:val="0"/>
              <w:widowControl w:val="0"/>
              <w:kinsoku/>
              <w:wordWrap/>
              <w:overflowPunct/>
              <w:topLinePunct w:val="0"/>
              <w:autoSpaceDE/>
              <w:autoSpaceDN/>
              <w:bidi w:val="0"/>
              <w:adjustRightInd/>
              <w:snapToGrid w:val="0"/>
              <w:spacing w:line="360" w:lineRule="auto"/>
              <w:textAlignment w:val="auto"/>
              <w:outlineLvl w:val="9"/>
              <w:rPr>
                <w:b w:val="0"/>
                <w:bCs/>
                <w:color w:val="auto"/>
                <w:highlight w:val="none"/>
              </w:rPr>
            </w:pPr>
            <w:r>
              <w:rPr>
                <w:b w:val="0"/>
                <w:bCs/>
                <w:color w:val="auto"/>
                <w:highlight w:val="none"/>
              </w:rPr>
              <w:t xml:space="preserve">5 《建筑工程施工质量验收统一标准》GB 50300 </w:t>
            </w:r>
          </w:p>
          <w:p w14:paraId="27552ED1">
            <w:pPr>
              <w:keepNext w:val="0"/>
              <w:keepLines w:val="0"/>
              <w:pageBreakBefore w:val="0"/>
              <w:widowControl w:val="0"/>
              <w:kinsoku/>
              <w:wordWrap/>
              <w:overflowPunct/>
              <w:topLinePunct w:val="0"/>
              <w:autoSpaceDE/>
              <w:autoSpaceDN/>
              <w:bidi w:val="0"/>
              <w:adjustRightInd/>
              <w:snapToGrid w:val="0"/>
              <w:spacing w:line="360" w:lineRule="auto"/>
              <w:textAlignment w:val="auto"/>
              <w:outlineLvl w:val="9"/>
              <w:rPr>
                <w:b w:val="0"/>
                <w:bCs/>
                <w:color w:val="auto"/>
                <w:highlight w:val="none"/>
              </w:rPr>
            </w:pPr>
            <w:r>
              <w:rPr>
                <w:b w:val="0"/>
                <w:bCs/>
                <w:color w:val="auto"/>
                <w:highlight w:val="none"/>
              </w:rPr>
              <w:t xml:space="preserve">6 《用于水泥和混凝土中的粉煤灰》GB/T 1596 </w:t>
            </w:r>
          </w:p>
          <w:p w14:paraId="1C163BD0">
            <w:pPr>
              <w:keepNext w:val="0"/>
              <w:keepLines w:val="0"/>
              <w:pageBreakBefore w:val="0"/>
              <w:widowControl w:val="0"/>
              <w:kinsoku/>
              <w:wordWrap/>
              <w:overflowPunct/>
              <w:topLinePunct w:val="0"/>
              <w:autoSpaceDE/>
              <w:autoSpaceDN/>
              <w:bidi w:val="0"/>
              <w:adjustRightInd/>
              <w:snapToGrid w:val="0"/>
              <w:spacing w:line="360" w:lineRule="auto"/>
              <w:textAlignment w:val="auto"/>
              <w:outlineLvl w:val="9"/>
              <w:rPr>
                <w:b w:val="0"/>
                <w:bCs/>
                <w:color w:val="auto"/>
                <w:highlight w:val="none"/>
              </w:rPr>
            </w:pPr>
            <w:r>
              <w:rPr>
                <w:b w:val="0"/>
                <w:bCs/>
                <w:color w:val="auto"/>
                <w:highlight w:val="none"/>
              </w:rPr>
              <w:t>7 《砌墙砖试验方法》GB/T 2542</w:t>
            </w:r>
          </w:p>
          <w:p w14:paraId="1514D8B7">
            <w:pPr>
              <w:keepNext w:val="0"/>
              <w:keepLines w:val="0"/>
              <w:pageBreakBefore w:val="0"/>
              <w:widowControl w:val="0"/>
              <w:kinsoku/>
              <w:wordWrap/>
              <w:overflowPunct/>
              <w:topLinePunct w:val="0"/>
              <w:autoSpaceDE/>
              <w:autoSpaceDN/>
              <w:bidi w:val="0"/>
              <w:adjustRightInd/>
              <w:snapToGrid w:val="0"/>
              <w:spacing w:line="360" w:lineRule="auto"/>
              <w:textAlignment w:val="auto"/>
              <w:outlineLvl w:val="9"/>
              <w:rPr>
                <w:b w:val="0"/>
                <w:bCs/>
                <w:color w:val="auto"/>
                <w:highlight w:val="none"/>
              </w:rPr>
            </w:pPr>
            <w:r>
              <w:rPr>
                <w:b w:val="0"/>
                <w:bCs/>
                <w:color w:val="auto"/>
                <w:highlight w:val="none"/>
              </w:rPr>
              <w:t>8 《混凝土小型空心砌块试验方法》GB/T 4111</w:t>
            </w:r>
          </w:p>
          <w:p w14:paraId="6A15E51D">
            <w:pPr>
              <w:keepNext w:val="0"/>
              <w:keepLines w:val="0"/>
              <w:pageBreakBefore w:val="0"/>
              <w:widowControl w:val="0"/>
              <w:kinsoku/>
              <w:wordWrap/>
              <w:overflowPunct/>
              <w:topLinePunct w:val="0"/>
              <w:autoSpaceDE/>
              <w:autoSpaceDN/>
              <w:bidi w:val="0"/>
              <w:adjustRightInd/>
              <w:snapToGrid w:val="0"/>
              <w:spacing w:line="360" w:lineRule="auto"/>
              <w:textAlignment w:val="auto"/>
              <w:outlineLvl w:val="9"/>
              <w:rPr>
                <w:b w:val="0"/>
                <w:bCs/>
                <w:color w:val="auto"/>
                <w:highlight w:val="none"/>
              </w:rPr>
            </w:pPr>
            <w:r>
              <w:rPr>
                <w:b w:val="0"/>
                <w:bCs/>
                <w:color w:val="auto"/>
                <w:highlight w:val="none"/>
              </w:rPr>
              <w:t xml:space="preserve">9 《建筑材料放射性核素限量》GB 6566  </w:t>
            </w:r>
          </w:p>
          <w:p w14:paraId="69948610">
            <w:pPr>
              <w:keepNext w:val="0"/>
              <w:keepLines w:val="0"/>
              <w:pageBreakBefore w:val="0"/>
              <w:widowControl w:val="0"/>
              <w:kinsoku/>
              <w:wordWrap/>
              <w:overflowPunct/>
              <w:topLinePunct w:val="0"/>
              <w:autoSpaceDE/>
              <w:autoSpaceDN/>
              <w:bidi w:val="0"/>
              <w:adjustRightInd/>
              <w:snapToGrid w:val="0"/>
              <w:spacing w:line="360" w:lineRule="auto"/>
              <w:textAlignment w:val="auto"/>
              <w:outlineLvl w:val="9"/>
              <w:rPr>
                <w:b w:val="0"/>
                <w:bCs/>
                <w:color w:val="auto"/>
                <w:highlight w:val="none"/>
              </w:rPr>
            </w:pPr>
            <w:r>
              <w:rPr>
                <w:b w:val="0"/>
                <w:bCs/>
                <w:color w:val="auto"/>
                <w:highlight w:val="none"/>
              </w:rPr>
              <w:t>10</w:t>
            </w:r>
            <w:r>
              <w:rPr>
                <w:rFonts w:hint="eastAsia"/>
                <w:b w:val="0"/>
                <w:bCs/>
                <w:color w:val="auto"/>
                <w:highlight w:val="none"/>
                <w:lang w:val="en-US" w:eastAsia="zh-CN"/>
              </w:rPr>
              <w:t xml:space="preserve"> </w:t>
            </w:r>
            <w:r>
              <w:rPr>
                <w:b w:val="0"/>
                <w:bCs/>
                <w:color w:val="auto"/>
                <w:highlight w:val="none"/>
              </w:rPr>
              <w:t xml:space="preserve">《纤维水泥制品试验方法》GB/T 7019 </w:t>
            </w:r>
          </w:p>
          <w:p w14:paraId="73CB77ED">
            <w:pPr>
              <w:keepNext w:val="0"/>
              <w:keepLines w:val="0"/>
              <w:pageBreakBefore w:val="0"/>
              <w:widowControl w:val="0"/>
              <w:kinsoku/>
              <w:wordWrap/>
              <w:overflowPunct/>
              <w:topLinePunct w:val="0"/>
              <w:autoSpaceDE/>
              <w:autoSpaceDN/>
              <w:bidi w:val="0"/>
              <w:adjustRightInd/>
              <w:snapToGrid w:val="0"/>
              <w:spacing w:line="360" w:lineRule="auto"/>
              <w:textAlignment w:val="auto"/>
              <w:outlineLvl w:val="9"/>
              <w:rPr>
                <w:b w:val="0"/>
                <w:bCs/>
                <w:color w:val="auto"/>
                <w:highlight w:val="none"/>
              </w:rPr>
            </w:pPr>
            <w:r>
              <w:rPr>
                <w:b w:val="0"/>
                <w:bCs/>
                <w:color w:val="auto"/>
                <w:highlight w:val="none"/>
              </w:rPr>
              <w:t>11</w:t>
            </w:r>
            <w:r>
              <w:rPr>
                <w:rFonts w:hint="eastAsia"/>
                <w:b w:val="0"/>
                <w:bCs/>
                <w:color w:val="auto"/>
                <w:highlight w:val="none"/>
                <w:lang w:val="en-US" w:eastAsia="zh-CN"/>
              </w:rPr>
              <w:t xml:space="preserve"> </w:t>
            </w:r>
            <w:r>
              <w:rPr>
                <w:b w:val="0"/>
                <w:bCs/>
                <w:color w:val="auto"/>
                <w:highlight w:val="none"/>
              </w:rPr>
              <w:t>《混凝土外加剂》GB 8076</w:t>
            </w:r>
          </w:p>
          <w:p w14:paraId="06E54298">
            <w:pPr>
              <w:keepNext w:val="0"/>
              <w:keepLines w:val="0"/>
              <w:pageBreakBefore w:val="0"/>
              <w:widowControl w:val="0"/>
              <w:kinsoku/>
              <w:wordWrap/>
              <w:overflowPunct/>
              <w:topLinePunct w:val="0"/>
              <w:autoSpaceDE/>
              <w:autoSpaceDN/>
              <w:bidi w:val="0"/>
              <w:adjustRightInd/>
              <w:snapToGrid w:val="0"/>
              <w:spacing w:line="360" w:lineRule="auto"/>
              <w:textAlignment w:val="auto"/>
              <w:outlineLvl w:val="9"/>
              <w:rPr>
                <w:b w:val="0"/>
                <w:bCs/>
                <w:color w:val="auto"/>
                <w:highlight w:val="none"/>
              </w:rPr>
            </w:pPr>
            <w:r>
              <w:rPr>
                <w:b w:val="0"/>
                <w:bCs/>
                <w:color w:val="auto"/>
                <w:highlight w:val="none"/>
              </w:rPr>
              <w:t>12</w:t>
            </w:r>
            <w:r>
              <w:rPr>
                <w:rFonts w:hint="eastAsia"/>
                <w:b w:val="0"/>
                <w:bCs/>
                <w:color w:val="auto"/>
                <w:highlight w:val="none"/>
                <w:lang w:val="en-US" w:eastAsia="zh-CN"/>
              </w:rPr>
              <w:t xml:space="preserve"> </w:t>
            </w:r>
            <w:r>
              <w:rPr>
                <w:b w:val="0"/>
                <w:bCs/>
                <w:color w:val="auto"/>
                <w:highlight w:val="none"/>
              </w:rPr>
              <w:t>《绝热用模塑聚苯乙烯泡沫塑料》GB/T 10801.1</w:t>
            </w:r>
          </w:p>
          <w:p w14:paraId="45074D1C">
            <w:pPr>
              <w:keepNext w:val="0"/>
              <w:keepLines w:val="0"/>
              <w:pageBreakBefore w:val="0"/>
              <w:widowControl w:val="0"/>
              <w:kinsoku/>
              <w:wordWrap/>
              <w:overflowPunct/>
              <w:topLinePunct w:val="0"/>
              <w:autoSpaceDE/>
              <w:autoSpaceDN/>
              <w:bidi w:val="0"/>
              <w:adjustRightInd/>
              <w:snapToGrid w:val="0"/>
              <w:spacing w:line="360" w:lineRule="auto"/>
              <w:textAlignment w:val="auto"/>
              <w:outlineLvl w:val="9"/>
              <w:rPr>
                <w:b w:val="0"/>
                <w:bCs/>
                <w:color w:val="auto"/>
                <w:highlight w:val="none"/>
              </w:rPr>
            </w:pPr>
            <w:r>
              <w:rPr>
                <w:b w:val="0"/>
                <w:bCs/>
                <w:color w:val="auto"/>
                <w:highlight w:val="none"/>
              </w:rPr>
              <w:t>13</w:t>
            </w:r>
            <w:r>
              <w:rPr>
                <w:rFonts w:hint="eastAsia"/>
                <w:b w:val="0"/>
                <w:bCs/>
                <w:color w:val="auto"/>
                <w:highlight w:val="none"/>
                <w:lang w:val="en-US" w:eastAsia="zh-CN"/>
              </w:rPr>
              <w:t xml:space="preserve"> </w:t>
            </w:r>
            <w:r>
              <w:rPr>
                <w:b w:val="0"/>
                <w:bCs/>
                <w:color w:val="auto"/>
                <w:highlight w:val="none"/>
              </w:rPr>
              <w:t xml:space="preserve">《绝热用挤塑聚苯乙烯泡沫塑料》GB/T 10801.2 </w:t>
            </w:r>
          </w:p>
          <w:p w14:paraId="34D9D6ED">
            <w:pPr>
              <w:keepNext w:val="0"/>
              <w:keepLines w:val="0"/>
              <w:pageBreakBefore w:val="0"/>
              <w:widowControl w:val="0"/>
              <w:kinsoku/>
              <w:wordWrap/>
              <w:overflowPunct/>
              <w:topLinePunct w:val="0"/>
              <w:autoSpaceDE/>
              <w:autoSpaceDN/>
              <w:bidi w:val="0"/>
              <w:adjustRightInd/>
              <w:snapToGrid w:val="0"/>
              <w:spacing w:line="360" w:lineRule="auto"/>
              <w:textAlignment w:val="auto"/>
              <w:outlineLvl w:val="9"/>
              <w:rPr>
                <w:b w:val="0"/>
                <w:bCs/>
                <w:color w:val="auto"/>
                <w:highlight w:val="none"/>
              </w:rPr>
            </w:pPr>
            <w:r>
              <w:rPr>
                <w:b w:val="0"/>
                <w:bCs/>
                <w:color w:val="auto"/>
                <w:highlight w:val="none"/>
              </w:rPr>
              <w:t>14</w:t>
            </w:r>
            <w:r>
              <w:rPr>
                <w:rFonts w:hint="eastAsia"/>
                <w:b w:val="0"/>
                <w:bCs/>
                <w:color w:val="auto"/>
                <w:highlight w:val="none"/>
                <w:lang w:val="en-US" w:eastAsia="zh-CN"/>
              </w:rPr>
              <w:t xml:space="preserve"> </w:t>
            </w:r>
            <w:r>
              <w:rPr>
                <w:b w:val="0"/>
                <w:bCs/>
                <w:color w:val="auto"/>
                <w:highlight w:val="none"/>
              </w:rPr>
              <w:t xml:space="preserve">《蒸压加气混凝土性能试验方法》GB/T 11969    </w:t>
            </w:r>
          </w:p>
          <w:p w14:paraId="3A4AC725">
            <w:pPr>
              <w:keepNext w:val="0"/>
              <w:keepLines w:val="0"/>
              <w:pageBreakBefore w:val="0"/>
              <w:widowControl w:val="0"/>
              <w:kinsoku/>
              <w:wordWrap/>
              <w:overflowPunct/>
              <w:topLinePunct w:val="0"/>
              <w:autoSpaceDE/>
              <w:autoSpaceDN/>
              <w:bidi w:val="0"/>
              <w:adjustRightInd/>
              <w:snapToGrid w:val="0"/>
              <w:spacing w:line="360" w:lineRule="auto"/>
              <w:textAlignment w:val="auto"/>
              <w:outlineLvl w:val="9"/>
              <w:rPr>
                <w:b w:val="0"/>
                <w:bCs/>
                <w:color w:val="auto"/>
                <w:highlight w:val="none"/>
              </w:rPr>
            </w:pPr>
            <w:r>
              <w:rPr>
                <w:b w:val="0"/>
                <w:bCs/>
                <w:color w:val="auto"/>
                <w:highlight w:val="none"/>
              </w:rPr>
              <w:t>15</w:t>
            </w:r>
            <w:r>
              <w:rPr>
                <w:rFonts w:hint="eastAsia"/>
                <w:b w:val="0"/>
                <w:bCs/>
                <w:color w:val="auto"/>
                <w:highlight w:val="none"/>
                <w:lang w:val="en-US" w:eastAsia="zh-CN"/>
              </w:rPr>
              <w:t xml:space="preserve"> </w:t>
            </w:r>
            <w:r>
              <w:rPr>
                <w:b w:val="0"/>
                <w:bCs/>
                <w:color w:val="auto"/>
                <w:highlight w:val="none"/>
              </w:rPr>
              <w:t>《蒸压加气混凝土板》GB 15762</w:t>
            </w:r>
          </w:p>
          <w:p w14:paraId="4F460912">
            <w:pPr>
              <w:keepNext w:val="0"/>
              <w:keepLines w:val="0"/>
              <w:pageBreakBefore w:val="0"/>
              <w:widowControl w:val="0"/>
              <w:kinsoku/>
              <w:wordWrap/>
              <w:overflowPunct/>
              <w:topLinePunct w:val="0"/>
              <w:autoSpaceDE/>
              <w:autoSpaceDN/>
              <w:bidi w:val="0"/>
              <w:adjustRightInd/>
              <w:snapToGrid w:val="0"/>
              <w:spacing w:line="360" w:lineRule="auto"/>
              <w:textAlignment w:val="auto"/>
              <w:outlineLvl w:val="9"/>
              <w:rPr>
                <w:b w:val="0"/>
                <w:bCs/>
                <w:color w:val="auto"/>
                <w:highlight w:val="none"/>
              </w:rPr>
            </w:pPr>
            <w:r>
              <w:rPr>
                <w:b w:val="0"/>
                <w:bCs/>
                <w:color w:val="auto"/>
                <w:highlight w:val="none"/>
              </w:rPr>
              <w:t>16</w:t>
            </w:r>
            <w:r>
              <w:rPr>
                <w:rFonts w:hint="eastAsia"/>
                <w:b w:val="0"/>
                <w:bCs/>
                <w:color w:val="auto"/>
                <w:highlight w:val="none"/>
                <w:lang w:val="en-US" w:eastAsia="zh-CN"/>
              </w:rPr>
              <w:t xml:space="preserve"> </w:t>
            </w:r>
            <w:r>
              <w:rPr>
                <w:b w:val="0"/>
                <w:bCs/>
                <w:color w:val="auto"/>
                <w:highlight w:val="none"/>
              </w:rPr>
              <w:t>《轻集料及其试验方法 第1部分：轻集料》GB/T 17431.1</w:t>
            </w:r>
          </w:p>
          <w:p w14:paraId="5C118591">
            <w:pPr>
              <w:keepNext w:val="0"/>
              <w:keepLines w:val="0"/>
              <w:pageBreakBefore w:val="0"/>
              <w:widowControl w:val="0"/>
              <w:kinsoku/>
              <w:wordWrap/>
              <w:overflowPunct/>
              <w:topLinePunct w:val="0"/>
              <w:autoSpaceDE/>
              <w:autoSpaceDN/>
              <w:bidi w:val="0"/>
              <w:adjustRightInd/>
              <w:snapToGrid w:val="0"/>
              <w:spacing w:line="360" w:lineRule="auto"/>
              <w:textAlignment w:val="auto"/>
              <w:outlineLvl w:val="9"/>
              <w:rPr>
                <w:b w:val="0"/>
                <w:bCs/>
                <w:color w:val="auto"/>
                <w:highlight w:val="none"/>
              </w:rPr>
            </w:pPr>
            <w:r>
              <w:rPr>
                <w:b w:val="0"/>
                <w:bCs/>
                <w:color w:val="auto"/>
                <w:highlight w:val="none"/>
              </w:rPr>
              <w:t>17</w:t>
            </w:r>
            <w:r>
              <w:rPr>
                <w:rFonts w:hint="eastAsia"/>
                <w:b w:val="0"/>
                <w:bCs/>
                <w:color w:val="auto"/>
                <w:highlight w:val="none"/>
                <w:lang w:val="en-US" w:eastAsia="zh-CN"/>
              </w:rPr>
              <w:t xml:space="preserve"> </w:t>
            </w:r>
            <w:r>
              <w:rPr>
                <w:b w:val="0"/>
                <w:bCs/>
                <w:color w:val="auto"/>
                <w:highlight w:val="none"/>
              </w:rPr>
              <w:t>《水泥胶砂强度检验方法》GB/T 17671</w:t>
            </w:r>
          </w:p>
          <w:p w14:paraId="74A198F0">
            <w:pPr>
              <w:keepNext w:val="0"/>
              <w:keepLines w:val="0"/>
              <w:pageBreakBefore w:val="0"/>
              <w:widowControl w:val="0"/>
              <w:kinsoku/>
              <w:wordWrap/>
              <w:overflowPunct/>
              <w:topLinePunct w:val="0"/>
              <w:autoSpaceDE/>
              <w:autoSpaceDN/>
              <w:bidi w:val="0"/>
              <w:adjustRightInd/>
              <w:snapToGrid w:val="0"/>
              <w:spacing w:line="360" w:lineRule="auto"/>
              <w:textAlignment w:val="auto"/>
              <w:outlineLvl w:val="9"/>
              <w:rPr>
                <w:b w:val="0"/>
                <w:bCs/>
                <w:color w:val="auto"/>
                <w:highlight w:val="none"/>
              </w:rPr>
            </w:pPr>
            <w:r>
              <w:rPr>
                <w:b w:val="0"/>
                <w:bCs/>
                <w:color w:val="auto"/>
                <w:highlight w:val="none"/>
              </w:rPr>
              <w:t>18</w:t>
            </w:r>
            <w:r>
              <w:rPr>
                <w:rFonts w:hint="eastAsia"/>
                <w:b w:val="0"/>
                <w:bCs/>
                <w:color w:val="auto"/>
                <w:highlight w:val="none"/>
                <w:lang w:val="en-US" w:eastAsia="zh-CN"/>
              </w:rPr>
              <w:t xml:space="preserve"> </w:t>
            </w:r>
            <w:r>
              <w:rPr>
                <w:b w:val="0"/>
                <w:bCs/>
                <w:color w:val="auto"/>
                <w:highlight w:val="none"/>
              </w:rPr>
              <w:t xml:space="preserve">《玻璃纤维增强水泥轻质多孔隔条板》GB/T 19631 </w:t>
            </w:r>
          </w:p>
          <w:p w14:paraId="7A71C643">
            <w:pPr>
              <w:keepNext w:val="0"/>
              <w:keepLines w:val="0"/>
              <w:pageBreakBefore w:val="0"/>
              <w:widowControl w:val="0"/>
              <w:kinsoku/>
              <w:wordWrap/>
              <w:overflowPunct/>
              <w:topLinePunct w:val="0"/>
              <w:autoSpaceDE/>
              <w:autoSpaceDN/>
              <w:bidi w:val="0"/>
              <w:adjustRightInd/>
              <w:snapToGrid w:val="0"/>
              <w:spacing w:line="360" w:lineRule="auto"/>
              <w:textAlignment w:val="auto"/>
              <w:outlineLvl w:val="9"/>
              <w:rPr>
                <w:b w:val="0"/>
                <w:bCs/>
                <w:color w:val="auto"/>
                <w:highlight w:val="none"/>
              </w:rPr>
            </w:pPr>
            <w:r>
              <w:rPr>
                <w:b w:val="0"/>
                <w:bCs/>
                <w:color w:val="auto"/>
                <w:highlight w:val="none"/>
              </w:rPr>
              <w:t>19</w:t>
            </w:r>
            <w:r>
              <w:rPr>
                <w:rFonts w:hint="eastAsia"/>
                <w:b w:val="0"/>
                <w:bCs/>
                <w:color w:val="auto"/>
                <w:highlight w:val="none"/>
                <w:lang w:val="en-US" w:eastAsia="zh-CN"/>
              </w:rPr>
              <w:t xml:space="preserve"> </w:t>
            </w:r>
            <w:r>
              <w:rPr>
                <w:b w:val="0"/>
                <w:bCs/>
                <w:color w:val="auto"/>
                <w:highlight w:val="none"/>
              </w:rPr>
              <w:t>《建筑用轻质隔墙条板》GB/T 23451</w:t>
            </w:r>
          </w:p>
          <w:p w14:paraId="13B1B6A2">
            <w:pPr>
              <w:keepNext w:val="0"/>
              <w:keepLines w:val="0"/>
              <w:pageBreakBefore w:val="0"/>
              <w:widowControl w:val="0"/>
              <w:kinsoku/>
              <w:wordWrap/>
              <w:overflowPunct/>
              <w:topLinePunct w:val="0"/>
              <w:autoSpaceDE/>
              <w:autoSpaceDN/>
              <w:bidi w:val="0"/>
              <w:adjustRightInd/>
              <w:snapToGrid w:val="0"/>
              <w:spacing w:line="360" w:lineRule="auto"/>
              <w:textAlignment w:val="auto"/>
              <w:outlineLvl w:val="9"/>
              <w:rPr>
                <w:b w:val="0"/>
                <w:bCs/>
                <w:color w:val="auto"/>
                <w:highlight w:val="none"/>
              </w:rPr>
            </w:pPr>
            <w:r>
              <w:rPr>
                <w:b w:val="0"/>
                <w:bCs/>
                <w:color w:val="auto"/>
                <w:highlight w:val="none"/>
              </w:rPr>
              <w:t>20</w:t>
            </w:r>
            <w:r>
              <w:rPr>
                <w:rFonts w:hint="eastAsia"/>
                <w:b w:val="0"/>
                <w:bCs/>
                <w:color w:val="auto"/>
                <w:highlight w:val="none"/>
                <w:lang w:val="en-US" w:eastAsia="zh-CN"/>
              </w:rPr>
              <w:t xml:space="preserve"> </w:t>
            </w:r>
            <w:r>
              <w:rPr>
                <w:b w:val="0"/>
                <w:bCs/>
                <w:color w:val="auto"/>
                <w:highlight w:val="none"/>
              </w:rPr>
              <w:t>《粉煤灰在混凝土和砂浆中应用技术规程》JGJ 28</w:t>
            </w:r>
          </w:p>
          <w:p w14:paraId="26D09737">
            <w:pPr>
              <w:keepNext w:val="0"/>
              <w:keepLines w:val="0"/>
              <w:pageBreakBefore w:val="0"/>
              <w:widowControl w:val="0"/>
              <w:kinsoku/>
              <w:wordWrap/>
              <w:overflowPunct/>
              <w:topLinePunct w:val="0"/>
              <w:autoSpaceDE/>
              <w:autoSpaceDN/>
              <w:bidi w:val="0"/>
              <w:adjustRightInd/>
              <w:snapToGrid w:val="0"/>
              <w:spacing w:line="360" w:lineRule="auto"/>
              <w:textAlignment w:val="auto"/>
              <w:outlineLvl w:val="9"/>
              <w:rPr>
                <w:b w:val="0"/>
                <w:bCs/>
                <w:color w:val="auto"/>
                <w:highlight w:val="none"/>
              </w:rPr>
            </w:pPr>
            <w:r>
              <w:rPr>
                <w:b w:val="0"/>
                <w:bCs/>
                <w:color w:val="auto"/>
                <w:highlight w:val="none"/>
              </w:rPr>
              <w:t>21</w:t>
            </w:r>
            <w:r>
              <w:rPr>
                <w:rFonts w:hint="eastAsia"/>
                <w:b w:val="0"/>
                <w:bCs/>
                <w:color w:val="auto"/>
                <w:highlight w:val="none"/>
                <w:lang w:val="en-US" w:eastAsia="zh-CN"/>
              </w:rPr>
              <w:t xml:space="preserve"> </w:t>
            </w:r>
            <w:r>
              <w:rPr>
                <w:b w:val="0"/>
                <w:bCs/>
                <w:color w:val="auto"/>
                <w:highlight w:val="none"/>
              </w:rPr>
              <w:t>《轻骨料混凝土技术规程》JGJ 51</w:t>
            </w:r>
          </w:p>
          <w:p w14:paraId="01900A76">
            <w:pPr>
              <w:keepNext w:val="0"/>
              <w:keepLines w:val="0"/>
              <w:pageBreakBefore w:val="0"/>
              <w:widowControl w:val="0"/>
              <w:kinsoku/>
              <w:wordWrap/>
              <w:overflowPunct/>
              <w:topLinePunct w:val="0"/>
              <w:autoSpaceDE/>
              <w:autoSpaceDN/>
              <w:bidi w:val="0"/>
              <w:adjustRightInd/>
              <w:snapToGrid w:val="0"/>
              <w:spacing w:line="360" w:lineRule="auto"/>
              <w:textAlignment w:val="auto"/>
              <w:outlineLvl w:val="9"/>
              <w:rPr>
                <w:b w:val="0"/>
                <w:bCs/>
                <w:color w:val="auto"/>
                <w:highlight w:val="none"/>
              </w:rPr>
            </w:pPr>
            <w:r>
              <w:rPr>
                <w:b w:val="0"/>
                <w:bCs/>
                <w:color w:val="auto"/>
                <w:highlight w:val="none"/>
              </w:rPr>
              <w:t>22</w:t>
            </w:r>
            <w:r>
              <w:rPr>
                <w:rFonts w:hint="eastAsia"/>
                <w:b w:val="0"/>
                <w:bCs/>
                <w:color w:val="auto"/>
                <w:highlight w:val="none"/>
                <w:lang w:val="en-US" w:eastAsia="zh-CN"/>
              </w:rPr>
              <w:t xml:space="preserve"> </w:t>
            </w:r>
            <w:r>
              <w:rPr>
                <w:b w:val="0"/>
                <w:bCs/>
                <w:color w:val="auto"/>
                <w:highlight w:val="none"/>
              </w:rPr>
              <w:t>《普通混凝土配合比设计规程》JGJ 55</w:t>
            </w:r>
          </w:p>
          <w:p w14:paraId="72C91FF1">
            <w:pPr>
              <w:keepNext w:val="0"/>
              <w:keepLines w:val="0"/>
              <w:pageBreakBefore w:val="0"/>
              <w:widowControl w:val="0"/>
              <w:kinsoku/>
              <w:wordWrap/>
              <w:overflowPunct/>
              <w:topLinePunct w:val="0"/>
              <w:autoSpaceDE/>
              <w:autoSpaceDN/>
              <w:bidi w:val="0"/>
              <w:adjustRightInd/>
              <w:snapToGrid w:val="0"/>
              <w:spacing w:line="360" w:lineRule="auto"/>
              <w:textAlignment w:val="auto"/>
              <w:outlineLvl w:val="9"/>
              <w:rPr>
                <w:b w:val="0"/>
                <w:bCs/>
                <w:color w:val="auto"/>
                <w:highlight w:val="none"/>
              </w:rPr>
            </w:pPr>
            <w:r>
              <w:rPr>
                <w:b w:val="0"/>
                <w:bCs/>
                <w:color w:val="auto"/>
                <w:highlight w:val="none"/>
              </w:rPr>
              <w:t>23</w:t>
            </w:r>
            <w:r>
              <w:rPr>
                <w:rFonts w:hint="eastAsia"/>
                <w:b w:val="0"/>
                <w:bCs/>
                <w:color w:val="auto"/>
                <w:highlight w:val="none"/>
                <w:lang w:val="en-US" w:eastAsia="zh-CN"/>
              </w:rPr>
              <w:t xml:space="preserve"> </w:t>
            </w:r>
            <w:r>
              <w:rPr>
                <w:b w:val="0"/>
                <w:bCs/>
                <w:color w:val="auto"/>
                <w:highlight w:val="none"/>
              </w:rPr>
              <w:t xml:space="preserve">《建筑砂浆基本性能试验方法》JGJ/T 70 </w:t>
            </w:r>
          </w:p>
          <w:p w14:paraId="3B03A8F4">
            <w:pPr>
              <w:keepNext w:val="0"/>
              <w:keepLines w:val="0"/>
              <w:pageBreakBefore w:val="0"/>
              <w:widowControl w:val="0"/>
              <w:kinsoku/>
              <w:wordWrap/>
              <w:overflowPunct/>
              <w:topLinePunct w:val="0"/>
              <w:autoSpaceDE/>
              <w:autoSpaceDN/>
              <w:bidi w:val="0"/>
              <w:adjustRightInd/>
              <w:snapToGrid w:val="0"/>
              <w:spacing w:line="360" w:lineRule="auto"/>
              <w:textAlignment w:val="auto"/>
              <w:outlineLvl w:val="9"/>
              <w:rPr>
                <w:b w:val="0"/>
                <w:bCs/>
                <w:color w:val="auto"/>
                <w:highlight w:val="none"/>
              </w:rPr>
            </w:pPr>
            <w:r>
              <w:rPr>
                <w:b w:val="0"/>
                <w:bCs/>
                <w:color w:val="auto"/>
                <w:highlight w:val="none"/>
              </w:rPr>
              <w:t>24</w:t>
            </w:r>
            <w:r>
              <w:rPr>
                <w:rFonts w:hint="eastAsia"/>
                <w:b w:val="0"/>
                <w:bCs/>
                <w:color w:val="auto"/>
                <w:highlight w:val="none"/>
                <w:lang w:val="en-US" w:eastAsia="zh-CN"/>
              </w:rPr>
              <w:t xml:space="preserve"> </w:t>
            </w:r>
            <w:r>
              <w:rPr>
                <w:b w:val="0"/>
                <w:bCs/>
                <w:color w:val="auto"/>
                <w:highlight w:val="none"/>
              </w:rPr>
              <w:t>《建筑抗震试验方法规程》JGJ 101</w:t>
            </w:r>
          </w:p>
          <w:p w14:paraId="1ABDD21D">
            <w:pPr>
              <w:keepNext w:val="0"/>
              <w:keepLines w:val="0"/>
              <w:pageBreakBefore w:val="0"/>
              <w:widowControl w:val="0"/>
              <w:kinsoku/>
              <w:wordWrap/>
              <w:overflowPunct/>
              <w:topLinePunct w:val="0"/>
              <w:autoSpaceDE/>
              <w:autoSpaceDN/>
              <w:bidi w:val="0"/>
              <w:adjustRightInd/>
              <w:snapToGrid w:val="0"/>
              <w:spacing w:line="360" w:lineRule="auto"/>
              <w:textAlignment w:val="auto"/>
              <w:outlineLvl w:val="9"/>
              <w:rPr>
                <w:b w:val="0"/>
                <w:bCs/>
                <w:color w:val="auto"/>
                <w:highlight w:val="none"/>
              </w:rPr>
            </w:pPr>
            <w:r>
              <w:rPr>
                <w:b w:val="0"/>
                <w:bCs/>
                <w:color w:val="auto"/>
                <w:highlight w:val="none"/>
              </w:rPr>
              <w:t>25</w:t>
            </w:r>
            <w:r>
              <w:rPr>
                <w:rFonts w:hint="eastAsia"/>
                <w:b w:val="0"/>
                <w:bCs/>
                <w:color w:val="auto"/>
                <w:highlight w:val="none"/>
                <w:lang w:val="en-US" w:eastAsia="zh-CN"/>
              </w:rPr>
              <w:t xml:space="preserve"> </w:t>
            </w:r>
            <w:r>
              <w:rPr>
                <w:b w:val="0"/>
                <w:bCs/>
                <w:color w:val="auto"/>
                <w:highlight w:val="none"/>
              </w:rPr>
              <w:t>《膨胀聚苯板薄抹灰外墙外保温系统》JG 149</w:t>
            </w:r>
          </w:p>
          <w:p w14:paraId="7299B072">
            <w:pPr>
              <w:keepNext w:val="0"/>
              <w:keepLines w:val="0"/>
              <w:pageBreakBefore w:val="0"/>
              <w:widowControl w:val="0"/>
              <w:kinsoku/>
              <w:wordWrap/>
              <w:overflowPunct/>
              <w:topLinePunct w:val="0"/>
              <w:autoSpaceDE/>
              <w:autoSpaceDN/>
              <w:bidi w:val="0"/>
              <w:adjustRightInd/>
              <w:snapToGrid w:val="0"/>
              <w:spacing w:line="360" w:lineRule="auto"/>
              <w:textAlignment w:val="auto"/>
              <w:outlineLvl w:val="9"/>
              <w:rPr>
                <w:b w:val="0"/>
                <w:bCs/>
                <w:color w:val="auto"/>
                <w:highlight w:val="none"/>
              </w:rPr>
            </w:pPr>
            <w:r>
              <w:rPr>
                <w:b w:val="0"/>
                <w:bCs/>
                <w:color w:val="auto"/>
                <w:highlight w:val="none"/>
              </w:rPr>
              <w:t>26</w:t>
            </w:r>
            <w:r>
              <w:rPr>
                <w:rFonts w:hint="eastAsia"/>
                <w:b w:val="0"/>
                <w:bCs/>
                <w:color w:val="auto"/>
                <w:highlight w:val="none"/>
                <w:lang w:val="en-US" w:eastAsia="zh-CN"/>
              </w:rPr>
              <w:t xml:space="preserve"> </w:t>
            </w:r>
            <w:r>
              <w:rPr>
                <w:b w:val="0"/>
                <w:bCs/>
                <w:color w:val="auto"/>
                <w:highlight w:val="none"/>
              </w:rPr>
              <w:t>《硅酸盐建筑制品用粉煤灰》JC/T 409</w:t>
            </w:r>
          </w:p>
          <w:p w14:paraId="3F2BC3F9">
            <w:pPr>
              <w:keepNext w:val="0"/>
              <w:keepLines w:val="0"/>
              <w:pageBreakBefore w:val="0"/>
              <w:widowControl w:val="0"/>
              <w:kinsoku/>
              <w:wordWrap/>
              <w:overflowPunct/>
              <w:topLinePunct w:val="0"/>
              <w:autoSpaceDE/>
              <w:autoSpaceDN/>
              <w:bidi w:val="0"/>
              <w:adjustRightInd/>
              <w:snapToGrid w:val="0"/>
              <w:spacing w:line="360" w:lineRule="auto"/>
              <w:textAlignment w:val="auto"/>
              <w:outlineLvl w:val="9"/>
              <w:rPr>
                <w:b w:val="0"/>
                <w:bCs/>
                <w:color w:val="auto"/>
                <w:highlight w:val="none"/>
              </w:rPr>
            </w:pPr>
            <w:r>
              <w:rPr>
                <w:b w:val="0"/>
                <w:bCs/>
                <w:color w:val="auto"/>
                <w:highlight w:val="none"/>
              </w:rPr>
              <w:t>27</w:t>
            </w:r>
            <w:r>
              <w:rPr>
                <w:rFonts w:hint="eastAsia"/>
                <w:b w:val="0"/>
                <w:bCs/>
                <w:color w:val="auto"/>
                <w:highlight w:val="none"/>
                <w:lang w:val="en-US" w:eastAsia="zh-CN"/>
              </w:rPr>
              <w:t xml:space="preserve"> </w:t>
            </w:r>
            <w:r>
              <w:rPr>
                <w:b w:val="0"/>
                <w:bCs/>
                <w:color w:val="auto"/>
                <w:highlight w:val="none"/>
              </w:rPr>
              <w:t>《硅酸盐建筑制品用生石灰》JC/T 621</w:t>
            </w:r>
          </w:p>
          <w:p w14:paraId="577AD0BD">
            <w:pPr>
              <w:keepNext w:val="0"/>
              <w:keepLines w:val="0"/>
              <w:pageBreakBefore w:val="0"/>
              <w:widowControl w:val="0"/>
              <w:kinsoku/>
              <w:wordWrap/>
              <w:overflowPunct/>
              <w:topLinePunct w:val="0"/>
              <w:autoSpaceDE/>
              <w:autoSpaceDN/>
              <w:bidi w:val="0"/>
              <w:adjustRightInd/>
              <w:snapToGrid w:val="0"/>
              <w:spacing w:line="360" w:lineRule="auto"/>
              <w:textAlignment w:val="auto"/>
              <w:outlineLvl w:val="9"/>
              <w:rPr>
                <w:b w:val="0"/>
                <w:bCs/>
                <w:color w:val="auto"/>
                <w:highlight w:val="none"/>
              </w:rPr>
            </w:pPr>
            <w:r>
              <w:rPr>
                <w:b w:val="0"/>
                <w:bCs/>
                <w:color w:val="auto"/>
                <w:highlight w:val="none"/>
              </w:rPr>
              <w:t>28</w:t>
            </w:r>
            <w:r>
              <w:rPr>
                <w:rFonts w:hint="eastAsia"/>
                <w:b w:val="0"/>
                <w:bCs/>
                <w:color w:val="auto"/>
                <w:highlight w:val="none"/>
                <w:lang w:val="en-US" w:eastAsia="zh-CN"/>
              </w:rPr>
              <w:t xml:space="preserve"> </w:t>
            </w:r>
            <w:r>
              <w:rPr>
                <w:b w:val="0"/>
                <w:bCs/>
                <w:color w:val="auto"/>
                <w:highlight w:val="none"/>
              </w:rPr>
              <w:t>《硅酸盐建筑制品用砂》JC/T 622</w:t>
            </w:r>
          </w:p>
          <w:p w14:paraId="4A019B19">
            <w:pPr>
              <w:keepNext w:val="0"/>
              <w:keepLines w:val="0"/>
              <w:pageBreakBefore w:val="0"/>
              <w:widowControl w:val="0"/>
              <w:kinsoku/>
              <w:wordWrap/>
              <w:overflowPunct/>
              <w:topLinePunct w:val="0"/>
              <w:autoSpaceDE/>
              <w:autoSpaceDN/>
              <w:bidi w:val="0"/>
              <w:adjustRightInd/>
              <w:snapToGrid w:val="0"/>
              <w:spacing w:line="360" w:lineRule="auto"/>
              <w:textAlignment w:val="auto"/>
              <w:outlineLvl w:val="9"/>
              <w:rPr>
                <w:b w:val="0"/>
                <w:bCs/>
                <w:color w:val="auto"/>
                <w:highlight w:val="none"/>
              </w:rPr>
            </w:pPr>
            <w:r>
              <w:rPr>
                <w:b w:val="0"/>
                <w:bCs/>
                <w:color w:val="auto"/>
                <w:highlight w:val="none"/>
              </w:rPr>
              <w:t>29</w:t>
            </w:r>
            <w:r>
              <w:rPr>
                <w:rFonts w:hint="eastAsia"/>
                <w:b w:val="0"/>
                <w:bCs/>
                <w:color w:val="auto"/>
                <w:highlight w:val="none"/>
                <w:lang w:val="en-US" w:eastAsia="zh-CN"/>
              </w:rPr>
              <w:t xml:space="preserve"> </w:t>
            </w:r>
            <w:r>
              <w:rPr>
                <w:b w:val="0"/>
                <w:bCs/>
                <w:color w:val="auto"/>
                <w:highlight w:val="none"/>
              </w:rPr>
              <w:t>《混凝土小型空心砌块砌筑砂浆》JC 860</w:t>
            </w:r>
          </w:p>
          <w:p w14:paraId="4CCFE82F">
            <w:pPr>
              <w:keepNext w:val="0"/>
              <w:keepLines w:val="0"/>
              <w:pageBreakBefore w:val="0"/>
              <w:widowControl w:val="0"/>
              <w:kinsoku/>
              <w:wordWrap/>
              <w:overflowPunct/>
              <w:topLinePunct w:val="0"/>
              <w:autoSpaceDE/>
              <w:autoSpaceDN/>
              <w:bidi w:val="0"/>
              <w:adjustRightInd/>
              <w:snapToGrid w:val="0"/>
              <w:spacing w:line="360" w:lineRule="auto"/>
              <w:textAlignment w:val="auto"/>
              <w:outlineLvl w:val="9"/>
              <w:rPr>
                <w:b w:val="0"/>
                <w:bCs/>
                <w:color w:val="auto"/>
                <w:highlight w:val="none"/>
              </w:rPr>
            </w:pPr>
            <w:r>
              <w:rPr>
                <w:b w:val="0"/>
                <w:bCs/>
                <w:color w:val="auto"/>
                <w:highlight w:val="none"/>
              </w:rPr>
              <w:t>30</w:t>
            </w:r>
            <w:r>
              <w:rPr>
                <w:rFonts w:hint="eastAsia"/>
                <w:b w:val="0"/>
                <w:bCs/>
                <w:color w:val="auto"/>
                <w:highlight w:val="none"/>
                <w:lang w:val="en-US" w:eastAsia="zh-CN"/>
              </w:rPr>
              <w:t xml:space="preserve"> </w:t>
            </w:r>
            <w:r>
              <w:rPr>
                <w:b w:val="0"/>
                <w:bCs/>
                <w:color w:val="auto"/>
                <w:highlight w:val="none"/>
              </w:rPr>
              <w:t>《混凝土小型空心砌块灌孔混凝土》JC 861</w:t>
            </w:r>
          </w:p>
          <w:p w14:paraId="35A7967A">
            <w:pPr>
              <w:keepNext w:val="0"/>
              <w:keepLines w:val="0"/>
              <w:pageBreakBefore w:val="0"/>
              <w:widowControl w:val="0"/>
              <w:kinsoku/>
              <w:wordWrap/>
              <w:overflowPunct/>
              <w:topLinePunct w:val="0"/>
              <w:autoSpaceDE/>
              <w:autoSpaceDN/>
              <w:bidi w:val="0"/>
              <w:adjustRightInd/>
              <w:snapToGrid w:val="0"/>
              <w:spacing w:line="360" w:lineRule="auto"/>
              <w:textAlignment w:val="auto"/>
              <w:outlineLvl w:val="9"/>
              <w:rPr>
                <w:rFonts w:ascii="Times New Roman" w:hAnsi="Times New Roman" w:eastAsia="宋体" w:cs="Times New Roman"/>
                <w:bCs/>
                <w:kern w:val="2"/>
                <w:sz w:val="21"/>
                <w:szCs w:val="21"/>
                <w:lang w:val="en-US" w:eastAsia="zh-CN" w:bidi="ar-SA"/>
              </w:rPr>
            </w:pPr>
            <w:r>
              <w:rPr>
                <w:b w:val="0"/>
                <w:bCs/>
                <w:color w:val="auto"/>
                <w:highlight w:val="none"/>
              </w:rPr>
              <w:t>31</w:t>
            </w:r>
            <w:r>
              <w:rPr>
                <w:rFonts w:hint="eastAsia"/>
                <w:b w:val="0"/>
                <w:bCs/>
                <w:color w:val="auto"/>
                <w:highlight w:val="none"/>
                <w:lang w:val="en-US" w:eastAsia="zh-CN"/>
              </w:rPr>
              <w:t xml:space="preserve"> </w:t>
            </w:r>
            <w:r>
              <w:rPr>
                <w:b w:val="0"/>
                <w:bCs/>
                <w:color w:val="auto"/>
                <w:highlight w:val="none"/>
              </w:rPr>
              <w:t>《蒸压加气混凝土用砌筑砂浆与抹面砂浆》JC 890</w:t>
            </w:r>
          </w:p>
        </w:tc>
        <w:tc>
          <w:tcPr>
            <w:tcW w:w="4716" w:type="dxa"/>
            <w:shd w:val="clear" w:color="auto" w:fill="auto"/>
            <w:vAlign w:val="top"/>
          </w:tcPr>
          <w:p w14:paraId="1A3D5AA2">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b w:val="0"/>
                <w:bCs/>
                <w:color w:val="auto"/>
                <w:highlight w:val="none"/>
              </w:rPr>
            </w:pPr>
            <w:r>
              <w:rPr>
                <w:b/>
                <w:color w:val="auto"/>
                <w:highlight w:val="none"/>
              </w:rPr>
              <w:t>1</w:t>
            </w:r>
            <w:r>
              <w:rPr>
                <w:b w:val="0"/>
                <w:bCs/>
                <w:color w:val="auto"/>
                <w:highlight w:val="none"/>
              </w:rPr>
              <w:t xml:space="preserve"> 《砌体基本力学性能试验方法标准》</w:t>
            </w:r>
            <w:r>
              <w:rPr>
                <w:rFonts w:hint="eastAsia"/>
                <w:b w:val="0"/>
                <w:bCs/>
                <w:color w:val="auto"/>
                <w:highlight w:val="none"/>
                <w:lang w:val="en-US" w:eastAsia="zh-CN"/>
              </w:rPr>
              <w:t>GB</w:t>
            </w:r>
            <w:r>
              <w:rPr>
                <w:bCs/>
                <w:color w:val="auto"/>
                <w:highlight w:val="none"/>
                <w:bdr w:val="single" w:color="000000" w:sz="4" w:space="0"/>
              </w:rPr>
              <w:t>J</w:t>
            </w:r>
            <w:r>
              <w:rPr>
                <w:rFonts w:hint="eastAsia"/>
                <w:bCs/>
                <w:color w:val="auto"/>
                <w:highlight w:val="none"/>
                <w:u w:val="single"/>
                <w:lang w:val="en-US" w:eastAsia="zh-CN"/>
              </w:rPr>
              <w:t>/T</w:t>
            </w:r>
            <w:r>
              <w:rPr>
                <w:bCs/>
                <w:color w:val="auto"/>
                <w:highlight w:val="none"/>
              </w:rPr>
              <w:t xml:space="preserve"> 129</w:t>
            </w:r>
          </w:p>
          <w:p w14:paraId="653FF284">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b w:val="0"/>
                <w:bCs/>
                <w:color w:val="auto"/>
                <w:highlight w:val="none"/>
              </w:rPr>
            </w:pPr>
            <w:r>
              <w:rPr>
                <w:b w:val="0"/>
                <w:bCs/>
                <w:color w:val="auto"/>
                <w:highlight w:val="none"/>
              </w:rPr>
              <w:t>2 《粉煤灰混凝土应用技术规范》</w:t>
            </w:r>
            <w:r>
              <w:rPr>
                <w:b w:val="0"/>
                <w:bCs/>
                <w:color w:val="auto"/>
                <w:highlight w:val="none"/>
                <w:bdr w:val="single" w:color="000000" w:sz="0" w:space="0"/>
              </w:rPr>
              <w:t>GBJ 146</w:t>
            </w:r>
            <w:r>
              <w:rPr>
                <w:rFonts w:hint="eastAsia"/>
                <w:u w:val="single"/>
                <w:lang w:val="en-US" w:eastAsia="zh-CN"/>
              </w:rPr>
              <w:t>GB/T 50146</w:t>
            </w:r>
          </w:p>
          <w:p w14:paraId="7F3A9A18">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b w:val="0"/>
                <w:bCs/>
                <w:color w:val="auto"/>
                <w:highlight w:val="none"/>
              </w:rPr>
            </w:pPr>
            <w:r>
              <w:rPr>
                <w:b w:val="0"/>
                <w:bCs/>
                <w:color w:val="auto"/>
                <w:highlight w:val="none"/>
              </w:rPr>
              <w:t>3 《建筑结构可靠</w:t>
            </w:r>
            <w:r>
              <w:rPr>
                <w:b w:val="0"/>
                <w:bCs/>
                <w:color w:val="auto"/>
                <w:highlight w:val="none"/>
                <w:bdr w:val="single" w:color="000000" w:sz="0" w:space="0"/>
              </w:rPr>
              <w:t>度</w:t>
            </w:r>
            <w:r>
              <w:rPr>
                <w:rFonts w:hint="eastAsia"/>
                <w:b w:val="0"/>
                <w:bCs/>
                <w:color w:val="auto"/>
                <w:highlight w:val="none"/>
                <w:u w:val="single"/>
                <w:lang w:val="en-US" w:eastAsia="zh-CN"/>
              </w:rPr>
              <w:t>性</w:t>
            </w:r>
            <w:r>
              <w:rPr>
                <w:b w:val="0"/>
                <w:bCs/>
                <w:color w:val="auto"/>
                <w:highlight w:val="none"/>
              </w:rPr>
              <w:t xml:space="preserve">设计统一标准》GB 50068 </w:t>
            </w:r>
          </w:p>
          <w:p w14:paraId="27FFE703">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b w:val="0"/>
                <w:bCs/>
                <w:color w:val="auto"/>
                <w:highlight w:val="none"/>
              </w:rPr>
            </w:pPr>
            <w:r>
              <w:rPr>
                <w:b w:val="0"/>
                <w:bCs/>
                <w:color w:val="auto"/>
                <w:highlight w:val="none"/>
              </w:rPr>
              <w:t>4 《民用建筑热工设计规范》GB 50176</w:t>
            </w:r>
          </w:p>
          <w:p w14:paraId="506F7248">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b w:val="0"/>
                <w:bCs/>
                <w:color w:val="auto"/>
                <w:highlight w:val="none"/>
              </w:rPr>
            </w:pPr>
            <w:r>
              <w:rPr>
                <w:b w:val="0"/>
                <w:bCs/>
                <w:color w:val="auto"/>
                <w:highlight w:val="none"/>
              </w:rPr>
              <w:t xml:space="preserve">5 《建筑工程施工质量验收统一标准》GB 50300 </w:t>
            </w:r>
          </w:p>
          <w:p w14:paraId="213342C0">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b w:val="0"/>
                <w:bCs/>
                <w:color w:val="auto"/>
                <w:highlight w:val="none"/>
              </w:rPr>
            </w:pPr>
            <w:r>
              <w:rPr>
                <w:b w:val="0"/>
                <w:bCs/>
                <w:color w:val="auto"/>
                <w:highlight w:val="none"/>
              </w:rPr>
              <w:t xml:space="preserve">6 《用于水泥和混凝土中的粉煤灰》GB/T 1596 </w:t>
            </w:r>
          </w:p>
          <w:p w14:paraId="145088B0">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b w:val="0"/>
                <w:bCs/>
                <w:color w:val="auto"/>
                <w:highlight w:val="none"/>
              </w:rPr>
            </w:pPr>
            <w:r>
              <w:rPr>
                <w:b w:val="0"/>
                <w:bCs/>
                <w:color w:val="auto"/>
                <w:highlight w:val="none"/>
              </w:rPr>
              <w:t>7 《砌墙砖试验方法》GB/T 2542</w:t>
            </w:r>
          </w:p>
          <w:p w14:paraId="57614C8D">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b w:val="0"/>
                <w:bCs/>
                <w:color w:val="auto"/>
                <w:highlight w:val="none"/>
              </w:rPr>
            </w:pPr>
            <w:r>
              <w:rPr>
                <w:b w:val="0"/>
                <w:bCs/>
                <w:color w:val="auto"/>
                <w:highlight w:val="none"/>
              </w:rPr>
              <w:t>8 《</w:t>
            </w:r>
            <w:r>
              <w:rPr>
                <w:bCs/>
                <w:color w:val="auto"/>
                <w:highlight w:val="none"/>
              </w:rPr>
              <w:t>混凝土</w:t>
            </w:r>
            <w:r>
              <w:rPr>
                <w:bCs/>
                <w:color w:val="auto"/>
                <w:highlight w:val="none"/>
                <w:bdr w:val="single" w:color="000000" w:sz="4" w:space="0"/>
              </w:rPr>
              <w:t>小型空心</w:t>
            </w:r>
            <w:r>
              <w:rPr>
                <w:bCs/>
                <w:color w:val="auto"/>
                <w:highlight w:val="none"/>
              </w:rPr>
              <w:t>砌块</w:t>
            </w:r>
            <w:r>
              <w:rPr>
                <w:rFonts w:hint="eastAsia"/>
                <w:bCs/>
                <w:color w:val="auto"/>
                <w:highlight w:val="none"/>
                <w:u w:val="single"/>
                <w:lang w:val="en-US" w:eastAsia="zh-CN"/>
              </w:rPr>
              <w:t>和砖</w:t>
            </w:r>
            <w:r>
              <w:rPr>
                <w:bCs/>
                <w:color w:val="auto"/>
                <w:highlight w:val="none"/>
              </w:rPr>
              <w:t>试验方法</w:t>
            </w:r>
            <w:r>
              <w:rPr>
                <w:b w:val="0"/>
                <w:bCs/>
                <w:color w:val="auto"/>
                <w:highlight w:val="none"/>
              </w:rPr>
              <w:t>》GB/T 4111</w:t>
            </w:r>
          </w:p>
          <w:p w14:paraId="589E30E6">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b w:val="0"/>
                <w:bCs/>
                <w:color w:val="auto"/>
                <w:highlight w:val="none"/>
              </w:rPr>
            </w:pPr>
            <w:r>
              <w:rPr>
                <w:b w:val="0"/>
                <w:bCs/>
                <w:color w:val="auto"/>
                <w:highlight w:val="none"/>
              </w:rPr>
              <w:t xml:space="preserve">9 《建筑材料放射性核素限量》GB 6566  </w:t>
            </w:r>
          </w:p>
          <w:p w14:paraId="0D84C3B8">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b w:val="0"/>
                <w:bCs/>
                <w:color w:val="auto"/>
                <w:highlight w:val="none"/>
              </w:rPr>
            </w:pPr>
            <w:r>
              <w:rPr>
                <w:b w:val="0"/>
                <w:bCs/>
                <w:color w:val="auto"/>
                <w:highlight w:val="none"/>
              </w:rPr>
              <w:t>10</w:t>
            </w:r>
            <w:r>
              <w:rPr>
                <w:rFonts w:hint="eastAsia"/>
                <w:b w:val="0"/>
                <w:bCs/>
                <w:color w:val="auto"/>
                <w:highlight w:val="none"/>
                <w:lang w:val="en-US" w:eastAsia="zh-CN"/>
              </w:rPr>
              <w:t xml:space="preserve"> </w:t>
            </w:r>
            <w:r>
              <w:rPr>
                <w:b w:val="0"/>
                <w:bCs/>
                <w:color w:val="auto"/>
                <w:highlight w:val="none"/>
              </w:rPr>
              <w:t xml:space="preserve">《纤维水泥制品试验方法》GB/T 7019 </w:t>
            </w:r>
          </w:p>
          <w:p w14:paraId="7342A572">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b w:val="0"/>
                <w:bCs/>
                <w:color w:val="auto"/>
                <w:highlight w:val="none"/>
              </w:rPr>
            </w:pPr>
            <w:r>
              <w:rPr>
                <w:b w:val="0"/>
                <w:bCs/>
                <w:color w:val="auto"/>
                <w:highlight w:val="none"/>
              </w:rPr>
              <w:t>11</w:t>
            </w:r>
            <w:r>
              <w:rPr>
                <w:rFonts w:hint="eastAsia"/>
                <w:b w:val="0"/>
                <w:bCs/>
                <w:color w:val="auto"/>
                <w:highlight w:val="none"/>
                <w:lang w:val="en-US" w:eastAsia="zh-CN"/>
              </w:rPr>
              <w:t xml:space="preserve"> </w:t>
            </w:r>
            <w:r>
              <w:rPr>
                <w:b w:val="0"/>
                <w:bCs/>
                <w:color w:val="auto"/>
                <w:highlight w:val="none"/>
              </w:rPr>
              <w:t>《混凝土外加剂》GB 8076</w:t>
            </w:r>
          </w:p>
          <w:p w14:paraId="730D60A6">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b w:val="0"/>
                <w:bCs/>
                <w:color w:val="auto"/>
                <w:highlight w:val="none"/>
              </w:rPr>
            </w:pPr>
            <w:r>
              <w:rPr>
                <w:b w:val="0"/>
                <w:bCs/>
                <w:color w:val="auto"/>
                <w:highlight w:val="none"/>
              </w:rPr>
              <w:t>12</w:t>
            </w:r>
            <w:r>
              <w:rPr>
                <w:rFonts w:hint="eastAsia"/>
                <w:b w:val="0"/>
                <w:bCs/>
                <w:color w:val="auto"/>
                <w:highlight w:val="none"/>
                <w:lang w:val="en-US" w:eastAsia="zh-CN"/>
              </w:rPr>
              <w:t xml:space="preserve"> </w:t>
            </w:r>
            <w:r>
              <w:rPr>
                <w:b w:val="0"/>
                <w:bCs/>
                <w:color w:val="auto"/>
                <w:highlight w:val="none"/>
              </w:rPr>
              <w:t>《绝热用模塑聚苯乙烯泡沫塑料</w:t>
            </w:r>
            <w:r>
              <w:rPr>
                <w:rFonts w:hint="eastAsia"/>
                <w:b w:val="0"/>
                <w:bCs/>
                <w:color w:val="auto"/>
                <w:highlight w:val="none"/>
                <w:u w:val="single"/>
                <w:lang w:eastAsia="zh-CN"/>
              </w:rPr>
              <w:t>（</w:t>
            </w:r>
            <w:r>
              <w:rPr>
                <w:rFonts w:hint="eastAsia"/>
                <w:b w:val="0"/>
                <w:bCs/>
                <w:color w:val="auto"/>
                <w:highlight w:val="none"/>
                <w:u w:val="single"/>
                <w:lang w:val="en-US" w:eastAsia="zh-CN"/>
              </w:rPr>
              <w:t>EPS</w:t>
            </w:r>
            <w:r>
              <w:rPr>
                <w:rFonts w:hint="eastAsia"/>
                <w:b w:val="0"/>
                <w:bCs/>
                <w:color w:val="auto"/>
                <w:highlight w:val="none"/>
                <w:u w:val="single"/>
                <w:lang w:eastAsia="zh-CN"/>
              </w:rPr>
              <w:t>）</w:t>
            </w:r>
            <w:r>
              <w:rPr>
                <w:b w:val="0"/>
                <w:bCs/>
                <w:color w:val="auto"/>
                <w:highlight w:val="none"/>
              </w:rPr>
              <w:t>》GB/T 10801.1</w:t>
            </w:r>
          </w:p>
          <w:p w14:paraId="40302AC9">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b w:val="0"/>
                <w:bCs/>
                <w:color w:val="auto"/>
                <w:highlight w:val="none"/>
              </w:rPr>
            </w:pPr>
            <w:r>
              <w:rPr>
                <w:b w:val="0"/>
                <w:bCs/>
                <w:color w:val="auto"/>
                <w:highlight w:val="none"/>
              </w:rPr>
              <w:t>13</w:t>
            </w:r>
            <w:r>
              <w:rPr>
                <w:rFonts w:hint="eastAsia"/>
                <w:b w:val="0"/>
                <w:bCs/>
                <w:color w:val="auto"/>
                <w:highlight w:val="none"/>
                <w:lang w:val="en-US" w:eastAsia="zh-CN"/>
              </w:rPr>
              <w:t xml:space="preserve"> </w:t>
            </w:r>
            <w:r>
              <w:rPr>
                <w:b w:val="0"/>
                <w:bCs/>
                <w:color w:val="auto"/>
                <w:highlight w:val="none"/>
              </w:rPr>
              <w:t>《绝热用挤塑聚苯乙烯泡沫塑料</w:t>
            </w:r>
            <w:r>
              <w:rPr>
                <w:rFonts w:hint="eastAsia"/>
                <w:b w:val="0"/>
                <w:bCs/>
                <w:color w:val="auto"/>
                <w:highlight w:val="none"/>
                <w:u w:val="single"/>
                <w:lang w:eastAsia="zh-CN"/>
              </w:rPr>
              <w:t>（</w:t>
            </w:r>
            <w:r>
              <w:rPr>
                <w:rFonts w:hint="eastAsia"/>
                <w:b w:val="0"/>
                <w:bCs/>
                <w:color w:val="auto"/>
                <w:highlight w:val="none"/>
                <w:u w:val="single"/>
                <w:lang w:val="en-US" w:eastAsia="zh-CN"/>
              </w:rPr>
              <w:t>XPS</w:t>
            </w:r>
            <w:r>
              <w:rPr>
                <w:rFonts w:hint="eastAsia"/>
                <w:b w:val="0"/>
                <w:bCs/>
                <w:color w:val="auto"/>
                <w:highlight w:val="none"/>
                <w:u w:val="single"/>
                <w:lang w:eastAsia="zh-CN"/>
              </w:rPr>
              <w:t>）</w:t>
            </w:r>
            <w:r>
              <w:rPr>
                <w:b w:val="0"/>
                <w:bCs/>
                <w:color w:val="auto"/>
                <w:highlight w:val="none"/>
              </w:rPr>
              <w:t xml:space="preserve">》GB/T 10801.2 </w:t>
            </w:r>
          </w:p>
          <w:p w14:paraId="2FC69EE0">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b w:val="0"/>
                <w:bCs/>
                <w:color w:val="auto"/>
                <w:highlight w:val="none"/>
              </w:rPr>
            </w:pPr>
            <w:r>
              <w:rPr>
                <w:b w:val="0"/>
                <w:bCs/>
                <w:color w:val="auto"/>
                <w:highlight w:val="none"/>
              </w:rPr>
              <w:t>14</w:t>
            </w:r>
            <w:r>
              <w:rPr>
                <w:rFonts w:hint="eastAsia"/>
                <w:b w:val="0"/>
                <w:bCs/>
                <w:color w:val="auto"/>
                <w:highlight w:val="none"/>
                <w:lang w:val="en-US" w:eastAsia="zh-CN"/>
              </w:rPr>
              <w:t xml:space="preserve"> </w:t>
            </w:r>
            <w:r>
              <w:rPr>
                <w:b w:val="0"/>
                <w:bCs/>
                <w:color w:val="auto"/>
                <w:highlight w:val="none"/>
              </w:rPr>
              <w:t xml:space="preserve">《蒸压加气混凝土性能试验方法》GB/T 11969    </w:t>
            </w:r>
          </w:p>
          <w:p w14:paraId="34E31F9D">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b w:val="0"/>
                <w:bCs/>
                <w:color w:val="auto"/>
                <w:highlight w:val="none"/>
              </w:rPr>
            </w:pPr>
            <w:bookmarkStart w:id="19" w:name="_Toc18909"/>
            <w:r>
              <w:rPr>
                <w:b w:val="0"/>
                <w:bCs/>
                <w:color w:val="auto"/>
                <w:highlight w:val="none"/>
              </w:rPr>
              <w:t>15</w:t>
            </w:r>
            <w:r>
              <w:rPr>
                <w:rFonts w:hint="eastAsia"/>
                <w:b w:val="0"/>
                <w:bCs/>
                <w:color w:val="auto"/>
                <w:highlight w:val="none"/>
                <w:lang w:val="en-US" w:eastAsia="zh-CN"/>
              </w:rPr>
              <w:t xml:space="preserve"> </w:t>
            </w:r>
            <w:r>
              <w:rPr>
                <w:b w:val="0"/>
                <w:bCs/>
                <w:color w:val="auto"/>
                <w:highlight w:val="none"/>
              </w:rPr>
              <w:t>《蒸压加气混凝土板》GB 15762</w:t>
            </w:r>
            <w:bookmarkEnd w:id="19"/>
          </w:p>
          <w:p w14:paraId="2249C827">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b w:val="0"/>
                <w:bCs/>
                <w:color w:val="auto"/>
                <w:highlight w:val="none"/>
              </w:rPr>
            </w:pPr>
            <w:r>
              <w:rPr>
                <w:b w:val="0"/>
                <w:bCs/>
                <w:color w:val="auto"/>
                <w:highlight w:val="none"/>
              </w:rPr>
              <w:t>16</w:t>
            </w:r>
            <w:r>
              <w:rPr>
                <w:rFonts w:hint="eastAsia"/>
                <w:b w:val="0"/>
                <w:bCs/>
                <w:color w:val="auto"/>
                <w:highlight w:val="none"/>
                <w:lang w:val="en-US" w:eastAsia="zh-CN"/>
              </w:rPr>
              <w:t xml:space="preserve"> </w:t>
            </w:r>
            <w:r>
              <w:rPr>
                <w:b w:val="0"/>
                <w:bCs/>
                <w:color w:val="auto"/>
                <w:highlight w:val="none"/>
              </w:rPr>
              <w:t>《轻集料及其试验方法 第1部分：轻集料》GB/T 17431.1</w:t>
            </w:r>
          </w:p>
          <w:p w14:paraId="6A6EB5BD">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b w:val="0"/>
                <w:bCs/>
                <w:color w:val="auto"/>
                <w:highlight w:val="none"/>
              </w:rPr>
            </w:pPr>
            <w:r>
              <w:rPr>
                <w:b w:val="0"/>
                <w:bCs/>
                <w:color w:val="auto"/>
                <w:highlight w:val="none"/>
              </w:rPr>
              <w:t>17</w:t>
            </w:r>
            <w:r>
              <w:rPr>
                <w:rFonts w:hint="eastAsia"/>
                <w:b w:val="0"/>
                <w:bCs/>
                <w:color w:val="auto"/>
                <w:highlight w:val="none"/>
                <w:lang w:val="en-US" w:eastAsia="zh-CN"/>
              </w:rPr>
              <w:t xml:space="preserve"> </w:t>
            </w:r>
            <w:r>
              <w:rPr>
                <w:b w:val="0"/>
                <w:bCs/>
                <w:color w:val="auto"/>
                <w:highlight w:val="none"/>
              </w:rPr>
              <w:t>《水泥胶砂强度检验方法》GB/T 17671</w:t>
            </w:r>
          </w:p>
          <w:p w14:paraId="321886F8">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b w:val="0"/>
                <w:bCs/>
                <w:color w:val="auto"/>
                <w:highlight w:val="none"/>
              </w:rPr>
            </w:pPr>
            <w:r>
              <w:rPr>
                <w:b w:val="0"/>
                <w:bCs/>
                <w:color w:val="auto"/>
                <w:highlight w:val="none"/>
              </w:rPr>
              <w:t>18</w:t>
            </w:r>
            <w:r>
              <w:rPr>
                <w:rFonts w:hint="eastAsia"/>
                <w:b w:val="0"/>
                <w:bCs/>
                <w:color w:val="auto"/>
                <w:highlight w:val="none"/>
                <w:lang w:val="en-US" w:eastAsia="zh-CN"/>
              </w:rPr>
              <w:t xml:space="preserve"> </w:t>
            </w:r>
            <w:r>
              <w:rPr>
                <w:b w:val="0"/>
                <w:bCs/>
                <w:color w:val="auto"/>
                <w:highlight w:val="none"/>
              </w:rPr>
              <w:t xml:space="preserve">《玻璃纤维增强水泥轻质多孔隔条板》GB/T 19631 </w:t>
            </w:r>
          </w:p>
          <w:p w14:paraId="58051E54">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b w:val="0"/>
                <w:bCs/>
                <w:color w:val="auto"/>
                <w:highlight w:val="none"/>
              </w:rPr>
            </w:pPr>
            <w:r>
              <w:rPr>
                <w:b w:val="0"/>
                <w:bCs/>
                <w:color w:val="auto"/>
                <w:highlight w:val="none"/>
              </w:rPr>
              <w:t>19</w:t>
            </w:r>
            <w:r>
              <w:rPr>
                <w:rFonts w:hint="eastAsia"/>
                <w:b w:val="0"/>
                <w:bCs/>
                <w:color w:val="auto"/>
                <w:highlight w:val="none"/>
                <w:lang w:val="en-US" w:eastAsia="zh-CN"/>
              </w:rPr>
              <w:t xml:space="preserve"> </w:t>
            </w:r>
            <w:r>
              <w:rPr>
                <w:b w:val="0"/>
                <w:bCs/>
                <w:color w:val="auto"/>
                <w:highlight w:val="none"/>
              </w:rPr>
              <w:t>《建筑用轻质隔墙条板》GB/T 23451</w:t>
            </w:r>
          </w:p>
          <w:p w14:paraId="68E38BFB">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b w:val="0"/>
                <w:bCs/>
                <w:color w:val="auto"/>
                <w:highlight w:val="none"/>
                <w:bdr w:val="single" w:color="000000" w:sz="0" w:space="0"/>
              </w:rPr>
            </w:pPr>
            <w:r>
              <w:rPr>
                <w:b w:val="0"/>
                <w:bCs/>
                <w:color w:val="auto"/>
                <w:highlight w:val="none"/>
                <w:bdr w:val="single" w:color="000000" w:sz="0" w:space="0"/>
              </w:rPr>
              <w:t>20</w:t>
            </w:r>
            <w:r>
              <w:rPr>
                <w:rFonts w:hint="eastAsia"/>
                <w:b w:val="0"/>
                <w:bCs/>
                <w:color w:val="auto"/>
                <w:highlight w:val="none"/>
                <w:bdr w:val="single" w:color="000000" w:sz="0" w:space="0"/>
                <w:lang w:val="en-US" w:eastAsia="zh-CN"/>
              </w:rPr>
              <w:t xml:space="preserve"> </w:t>
            </w:r>
            <w:r>
              <w:rPr>
                <w:b w:val="0"/>
                <w:bCs/>
                <w:color w:val="auto"/>
                <w:highlight w:val="none"/>
                <w:bdr w:val="single" w:color="000000" w:sz="0" w:space="0"/>
              </w:rPr>
              <w:t>《粉煤灰在混凝土和砂浆中应用技术规程》JGJ 28</w:t>
            </w:r>
          </w:p>
          <w:p w14:paraId="412C84E8">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outlineLvl w:val="9"/>
              <w:rPr>
                <w:b w:val="0"/>
                <w:bCs/>
                <w:color w:val="auto"/>
                <w:highlight w:val="none"/>
                <w:bdr w:val="single" w:color="000000" w:sz="0" w:space="0"/>
              </w:rPr>
            </w:pPr>
            <w:r>
              <w:rPr>
                <w:rFonts w:hint="eastAsia"/>
                <w:u w:val="single"/>
                <w:lang w:eastAsia="zh-CN"/>
              </w:rPr>
              <w:t>《用于水泥和混凝土中的粉煤灰》</w:t>
            </w:r>
            <w:r>
              <w:rPr>
                <w:rFonts w:hint="eastAsia"/>
                <w:u w:val="single"/>
                <w:lang w:val="en-US" w:eastAsia="zh-CN"/>
              </w:rPr>
              <w:t>GB/T 1596</w:t>
            </w:r>
          </w:p>
          <w:p w14:paraId="1C6EC91B">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b w:val="0"/>
                <w:bCs/>
                <w:color w:val="auto"/>
                <w:highlight w:val="none"/>
              </w:rPr>
            </w:pPr>
            <w:r>
              <w:rPr>
                <w:b w:val="0"/>
                <w:bCs/>
                <w:color w:val="auto"/>
                <w:highlight w:val="none"/>
              </w:rPr>
              <w:t>21</w:t>
            </w:r>
            <w:r>
              <w:rPr>
                <w:rFonts w:hint="eastAsia"/>
                <w:b w:val="0"/>
                <w:bCs/>
                <w:color w:val="auto"/>
                <w:highlight w:val="none"/>
                <w:lang w:val="en-US" w:eastAsia="zh-CN"/>
              </w:rPr>
              <w:t xml:space="preserve"> </w:t>
            </w:r>
            <w:r>
              <w:rPr>
                <w:b w:val="0"/>
                <w:bCs/>
                <w:color w:val="auto"/>
                <w:highlight w:val="none"/>
                <w:bdr w:val="single" w:color="000000" w:sz="0" w:space="0"/>
              </w:rPr>
              <w:t>《轻骨料混凝土技术规程》JGJ 51</w:t>
            </w:r>
            <w:r>
              <w:rPr>
                <w:rFonts w:hint="eastAsia"/>
                <w:u w:val="single"/>
                <w:lang w:val="en-US" w:eastAsia="zh-CN"/>
              </w:rPr>
              <w:t>《轻骨料混凝土应用技术标准》JGJ/T 12</w:t>
            </w:r>
          </w:p>
          <w:p w14:paraId="3CA48FC1">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b w:val="0"/>
                <w:bCs/>
                <w:color w:val="auto"/>
                <w:highlight w:val="none"/>
              </w:rPr>
            </w:pPr>
            <w:r>
              <w:rPr>
                <w:b w:val="0"/>
                <w:bCs/>
                <w:color w:val="auto"/>
                <w:highlight w:val="none"/>
              </w:rPr>
              <w:t>22</w:t>
            </w:r>
            <w:r>
              <w:rPr>
                <w:rFonts w:hint="eastAsia"/>
                <w:b w:val="0"/>
                <w:bCs/>
                <w:color w:val="auto"/>
                <w:highlight w:val="none"/>
                <w:lang w:val="en-US" w:eastAsia="zh-CN"/>
              </w:rPr>
              <w:t xml:space="preserve"> </w:t>
            </w:r>
            <w:r>
              <w:rPr>
                <w:b w:val="0"/>
                <w:bCs/>
                <w:color w:val="auto"/>
                <w:highlight w:val="none"/>
              </w:rPr>
              <w:t>《普通混凝土配合比设计规程》JGJ 55</w:t>
            </w:r>
          </w:p>
          <w:p w14:paraId="6B9AE198">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b w:val="0"/>
                <w:bCs/>
                <w:color w:val="auto"/>
                <w:highlight w:val="none"/>
              </w:rPr>
            </w:pPr>
            <w:r>
              <w:rPr>
                <w:b w:val="0"/>
                <w:bCs/>
                <w:color w:val="auto"/>
                <w:highlight w:val="none"/>
              </w:rPr>
              <w:t>23</w:t>
            </w:r>
            <w:r>
              <w:rPr>
                <w:rFonts w:hint="eastAsia"/>
                <w:b w:val="0"/>
                <w:bCs/>
                <w:color w:val="auto"/>
                <w:highlight w:val="none"/>
                <w:lang w:val="en-US" w:eastAsia="zh-CN"/>
              </w:rPr>
              <w:t xml:space="preserve"> </w:t>
            </w:r>
            <w:r>
              <w:rPr>
                <w:b w:val="0"/>
                <w:bCs/>
                <w:color w:val="auto"/>
                <w:highlight w:val="none"/>
              </w:rPr>
              <w:t xml:space="preserve">《建筑砂浆基本性能试验方法》JGJ/T 70 </w:t>
            </w:r>
          </w:p>
          <w:p w14:paraId="5AA0D3D4">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b w:val="0"/>
                <w:bCs/>
                <w:color w:val="auto"/>
                <w:highlight w:val="none"/>
              </w:rPr>
            </w:pPr>
            <w:r>
              <w:rPr>
                <w:b w:val="0"/>
                <w:bCs/>
                <w:color w:val="auto"/>
                <w:highlight w:val="none"/>
              </w:rPr>
              <w:t>24</w:t>
            </w:r>
            <w:r>
              <w:rPr>
                <w:rFonts w:hint="eastAsia"/>
                <w:b w:val="0"/>
                <w:bCs/>
                <w:color w:val="auto"/>
                <w:highlight w:val="none"/>
                <w:lang w:val="en-US" w:eastAsia="zh-CN"/>
              </w:rPr>
              <w:t xml:space="preserve"> </w:t>
            </w:r>
            <w:r>
              <w:rPr>
                <w:b w:val="0"/>
                <w:bCs/>
                <w:color w:val="auto"/>
                <w:highlight w:val="none"/>
              </w:rPr>
              <w:t>《建筑抗震试验方法规程》JGJ</w:t>
            </w:r>
            <w:r>
              <w:rPr>
                <w:rFonts w:hint="eastAsia"/>
                <w:bCs/>
                <w:color w:val="auto"/>
                <w:highlight w:val="none"/>
                <w:u w:val="single"/>
                <w:lang w:val="en-US" w:eastAsia="zh-CN"/>
              </w:rPr>
              <w:t>/T</w:t>
            </w:r>
            <w:r>
              <w:rPr>
                <w:b w:val="0"/>
                <w:bCs/>
                <w:color w:val="auto"/>
                <w:highlight w:val="none"/>
              </w:rPr>
              <w:t xml:space="preserve"> 101</w:t>
            </w:r>
          </w:p>
          <w:p w14:paraId="6C97310F">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b w:val="0"/>
                <w:bCs/>
                <w:color w:val="auto"/>
                <w:highlight w:val="none"/>
                <w:bdr w:val="single" w:color="000000" w:sz="0" w:space="0"/>
              </w:rPr>
            </w:pPr>
            <w:r>
              <w:rPr>
                <w:b w:val="0"/>
                <w:bCs/>
                <w:color w:val="auto"/>
                <w:highlight w:val="none"/>
                <w:bdr w:val="single" w:color="000000" w:sz="0" w:space="0"/>
              </w:rPr>
              <w:t>25</w:t>
            </w:r>
            <w:r>
              <w:rPr>
                <w:rFonts w:hint="eastAsia"/>
                <w:b w:val="0"/>
                <w:bCs/>
                <w:color w:val="auto"/>
                <w:highlight w:val="none"/>
                <w:bdr w:val="single" w:color="000000" w:sz="0" w:space="0"/>
                <w:lang w:val="en-US" w:eastAsia="zh-CN"/>
              </w:rPr>
              <w:t xml:space="preserve"> </w:t>
            </w:r>
            <w:r>
              <w:rPr>
                <w:b w:val="0"/>
                <w:bCs/>
                <w:color w:val="auto"/>
                <w:highlight w:val="none"/>
                <w:bdr w:val="single" w:color="000000" w:sz="0" w:space="0"/>
              </w:rPr>
              <w:t>《膨胀聚苯板薄抹灰外墙外保温系统》JG 149</w:t>
            </w:r>
          </w:p>
          <w:p w14:paraId="60465C65">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b w:val="0"/>
                <w:bCs/>
                <w:color w:val="auto"/>
                <w:highlight w:val="none"/>
              </w:rPr>
            </w:pPr>
            <w:r>
              <w:rPr>
                <w:b w:val="0"/>
                <w:bCs/>
                <w:color w:val="auto"/>
                <w:highlight w:val="none"/>
              </w:rPr>
              <w:t>26</w:t>
            </w:r>
            <w:r>
              <w:rPr>
                <w:rFonts w:hint="eastAsia"/>
                <w:b w:val="0"/>
                <w:bCs/>
                <w:color w:val="auto"/>
                <w:highlight w:val="none"/>
                <w:lang w:val="en-US" w:eastAsia="zh-CN"/>
              </w:rPr>
              <w:t xml:space="preserve"> </w:t>
            </w:r>
            <w:r>
              <w:rPr>
                <w:b w:val="0"/>
                <w:bCs/>
                <w:color w:val="auto"/>
                <w:highlight w:val="none"/>
              </w:rPr>
              <w:t>《硅酸盐建筑制品用粉煤灰》JC/T 409</w:t>
            </w:r>
          </w:p>
          <w:p w14:paraId="7D1FD32C">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b w:val="0"/>
                <w:bCs/>
                <w:color w:val="auto"/>
                <w:highlight w:val="none"/>
              </w:rPr>
            </w:pPr>
            <w:r>
              <w:rPr>
                <w:b w:val="0"/>
                <w:bCs/>
                <w:color w:val="auto"/>
                <w:highlight w:val="none"/>
              </w:rPr>
              <w:t>27</w:t>
            </w:r>
            <w:r>
              <w:rPr>
                <w:rFonts w:hint="eastAsia"/>
                <w:b w:val="0"/>
                <w:bCs/>
                <w:color w:val="auto"/>
                <w:highlight w:val="none"/>
                <w:lang w:val="en-US" w:eastAsia="zh-CN"/>
              </w:rPr>
              <w:t xml:space="preserve"> </w:t>
            </w:r>
            <w:r>
              <w:rPr>
                <w:b w:val="0"/>
                <w:bCs/>
                <w:color w:val="auto"/>
                <w:highlight w:val="none"/>
              </w:rPr>
              <w:t>《硅酸盐建筑制品用生石灰》JC/T 621</w:t>
            </w:r>
          </w:p>
          <w:p w14:paraId="06474EFF">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b w:val="0"/>
                <w:bCs/>
                <w:color w:val="auto"/>
                <w:highlight w:val="none"/>
              </w:rPr>
            </w:pPr>
            <w:r>
              <w:rPr>
                <w:b w:val="0"/>
                <w:bCs/>
                <w:color w:val="auto"/>
                <w:highlight w:val="none"/>
              </w:rPr>
              <w:t>28</w:t>
            </w:r>
            <w:r>
              <w:rPr>
                <w:rFonts w:hint="eastAsia"/>
                <w:b w:val="0"/>
                <w:bCs/>
                <w:color w:val="auto"/>
                <w:highlight w:val="none"/>
                <w:lang w:val="en-US" w:eastAsia="zh-CN"/>
              </w:rPr>
              <w:t xml:space="preserve"> </w:t>
            </w:r>
            <w:r>
              <w:rPr>
                <w:b w:val="0"/>
                <w:bCs/>
                <w:color w:val="auto"/>
                <w:highlight w:val="none"/>
              </w:rPr>
              <w:t>《硅酸盐建筑制品用砂》JC/T 622</w:t>
            </w:r>
          </w:p>
          <w:p w14:paraId="015C43FC">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b w:val="0"/>
                <w:bCs/>
                <w:color w:val="auto"/>
                <w:highlight w:val="none"/>
              </w:rPr>
            </w:pPr>
            <w:r>
              <w:rPr>
                <w:b w:val="0"/>
                <w:bCs/>
                <w:color w:val="auto"/>
                <w:highlight w:val="none"/>
              </w:rPr>
              <w:t>29</w:t>
            </w:r>
            <w:r>
              <w:rPr>
                <w:rFonts w:hint="eastAsia"/>
                <w:b w:val="0"/>
                <w:bCs/>
                <w:color w:val="auto"/>
                <w:highlight w:val="none"/>
                <w:lang w:val="en-US" w:eastAsia="zh-CN"/>
              </w:rPr>
              <w:t xml:space="preserve"> </w:t>
            </w:r>
            <w:r>
              <w:rPr>
                <w:bCs/>
                <w:color w:val="auto"/>
                <w:highlight w:val="none"/>
              </w:rPr>
              <w:t>《混凝土小型空心砌块</w:t>
            </w:r>
            <w:r>
              <w:rPr>
                <w:rFonts w:hint="eastAsia"/>
                <w:bCs/>
                <w:color w:val="auto"/>
                <w:highlight w:val="none"/>
                <w:u w:val="single"/>
                <w:lang w:val="en-US" w:eastAsia="zh-CN"/>
              </w:rPr>
              <w:t>和混凝土砖</w:t>
            </w:r>
            <w:r>
              <w:rPr>
                <w:bCs/>
                <w:color w:val="auto"/>
                <w:highlight w:val="none"/>
              </w:rPr>
              <w:t>砌筑砂浆》JC</w:t>
            </w:r>
            <w:r>
              <w:rPr>
                <w:rFonts w:hint="eastAsia"/>
                <w:bCs/>
                <w:color w:val="auto"/>
                <w:highlight w:val="none"/>
                <w:u w:val="single"/>
                <w:lang w:val="en-US" w:eastAsia="zh-CN"/>
              </w:rPr>
              <w:t>/T</w:t>
            </w:r>
            <w:r>
              <w:rPr>
                <w:bCs/>
                <w:color w:val="auto"/>
                <w:highlight w:val="none"/>
              </w:rPr>
              <w:t xml:space="preserve"> 860</w:t>
            </w:r>
          </w:p>
          <w:p w14:paraId="138F4255">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b w:val="0"/>
                <w:bCs/>
                <w:color w:val="auto"/>
                <w:highlight w:val="none"/>
              </w:rPr>
            </w:pPr>
            <w:r>
              <w:rPr>
                <w:b w:val="0"/>
                <w:bCs/>
                <w:color w:val="auto"/>
                <w:highlight w:val="none"/>
              </w:rPr>
              <w:t>30</w:t>
            </w:r>
            <w:r>
              <w:rPr>
                <w:rFonts w:hint="eastAsia"/>
                <w:b w:val="0"/>
                <w:bCs/>
                <w:color w:val="auto"/>
                <w:highlight w:val="none"/>
                <w:lang w:val="en-US" w:eastAsia="zh-CN"/>
              </w:rPr>
              <w:t xml:space="preserve"> </w:t>
            </w:r>
            <w:r>
              <w:rPr>
                <w:bCs/>
                <w:color w:val="auto"/>
                <w:highlight w:val="none"/>
              </w:rPr>
              <w:t>混凝土</w:t>
            </w:r>
            <w:r>
              <w:rPr>
                <w:bCs/>
                <w:color w:val="auto"/>
                <w:highlight w:val="none"/>
                <w:bdr w:val="single" w:color="000000" w:sz="4" w:space="0"/>
              </w:rPr>
              <w:t>小型空心</w:t>
            </w:r>
            <w:r>
              <w:rPr>
                <w:bCs/>
                <w:color w:val="auto"/>
                <w:highlight w:val="none"/>
              </w:rPr>
              <w:t>砌块</w:t>
            </w:r>
            <w:r>
              <w:rPr>
                <w:rFonts w:hint="eastAsia"/>
                <w:bCs/>
                <w:color w:val="auto"/>
                <w:highlight w:val="none"/>
                <w:u w:val="single"/>
                <w:lang w:eastAsia="zh-CN"/>
              </w:rPr>
              <w:t>（</w:t>
            </w:r>
            <w:r>
              <w:rPr>
                <w:rFonts w:hint="eastAsia"/>
                <w:bCs/>
                <w:color w:val="auto"/>
                <w:highlight w:val="none"/>
                <w:u w:val="single"/>
                <w:lang w:val="en-US" w:eastAsia="zh-CN"/>
              </w:rPr>
              <w:t>砖</w:t>
            </w:r>
            <w:r>
              <w:rPr>
                <w:rFonts w:hint="eastAsia"/>
                <w:bCs/>
                <w:color w:val="auto"/>
                <w:highlight w:val="none"/>
                <w:u w:val="single"/>
                <w:lang w:eastAsia="zh-CN"/>
              </w:rPr>
              <w:t>）</w:t>
            </w:r>
            <w:r>
              <w:rPr>
                <w:rFonts w:hint="eastAsia"/>
                <w:bCs/>
                <w:color w:val="auto"/>
                <w:highlight w:val="none"/>
                <w:u w:val="single"/>
                <w:lang w:val="en-US" w:eastAsia="zh-CN"/>
              </w:rPr>
              <w:t>砌体用</w:t>
            </w:r>
            <w:r>
              <w:rPr>
                <w:bCs/>
                <w:color w:val="auto"/>
                <w:highlight w:val="none"/>
              </w:rPr>
              <w:t>灌孔混凝土》JC</w:t>
            </w:r>
            <w:r>
              <w:rPr>
                <w:rFonts w:hint="eastAsia"/>
                <w:bCs/>
                <w:color w:val="auto"/>
                <w:highlight w:val="none"/>
                <w:u w:val="single"/>
                <w:lang w:val="en-US" w:eastAsia="zh-CN"/>
              </w:rPr>
              <w:t>/T</w:t>
            </w:r>
            <w:r>
              <w:rPr>
                <w:bCs/>
                <w:color w:val="auto"/>
                <w:highlight w:val="none"/>
              </w:rPr>
              <w:t xml:space="preserve"> 861</w:t>
            </w:r>
          </w:p>
          <w:p w14:paraId="074A5CF2">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b w:val="0"/>
                <w:bCs/>
                <w:color w:val="auto"/>
                <w:highlight w:val="none"/>
              </w:rPr>
            </w:pPr>
            <w:r>
              <w:rPr>
                <w:b w:val="0"/>
                <w:bCs/>
                <w:color w:val="auto"/>
                <w:highlight w:val="none"/>
              </w:rPr>
              <w:t>31</w:t>
            </w:r>
            <w:r>
              <w:rPr>
                <w:rFonts w:hint="eastAsia"/>
                <w:b w:val="0"/>
                <w:bCs/>
                <w:color w:val="auto"/>
                <w:highlight w:val="none"/>
                <w:lang w:val="en-US" w:eastAsia="zh-CN"/>
              </w:rPr>
              <w:t xml:space="preserve"> </w:t>
            </w:r>
            <w:r>
              <w:rPr>
                <w:b w:val="0"/>
                <w:bCs/>
                <w:color w:val="auto"/>
                <w:highlight w:val="none"/>
              </w:rPr>
              <w:t>《蒸压加气混凝土用砌筑砂浆与抹面砂浆》JC 890</w:t>
            </w:r>
          </w:p>
          <w:p w14:paraId="06B60425">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b w:val="0"/>
                <w:bCs/>
                <w:color w:val="auto"/>
                <w:highlight w:val="none"/>
                <w:u w:val="single"/>
              </w:rPr>
            </w:pPr>
            <w:r>
              <w:rPr>
                <w:rFonts w:hint="eastAsia"/>
                <w:bCs/>
                <w:color w:val="auto"/>
                <w:highlight w:val="none"/>
                <w:u w:val="single"/>
                <w:lang w:val="en-US" w:eastAsia="zh-CN"/>
              </w:rPr>
              <w:t xml:space="preserve">32 </w:t>
            </w:r>
            <w:r>
              <w:rPr>
                <w:rFonts w:hint="eastAsia"/>
                <w:bCs/>
                <w:color w:val="auto"/>
                <w:highlight w:val="none"/>
                <w:u w:val="single"/>
              </w:rPr>
              <w:t>《工程结构通用规范》GB 55001</w:t>
            </w:r>
          </w:p>
          <w:p w14:paraId="1F533D1E">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ascii="Times New Roman" w:hAnsi="Times New Roman" w:eastAsia="宋体" w:cs="Times New Roman"/>
                <w:bCs/>
                <w:kern w:val="2"/>
                <w:sz w:val="21"/>
                <w:szCs w:val="21"/>
                <w:lang w:val="en-US" w:eastAsia="zh-CN" w:bidi="ar-SA"/>
              </w:rPr>
            </w:pPr>
            <w:r>
              <w:rPr>
                <w:rFonts w:hint="eastAsia"/>
                <w:b w:val="0"/>
                <w:bCs/>
                <w:color w:val="auto"/>
                <w:highlight w:val="none"/>
                <w:u w:val="single"/>
                <w:lang w:val="en-US" w:eastAsia="zh-CN"/>
              </w:rPr>
              <w:t xml:space="preserve">33 </w:t>
            </w:r>
            <w:r>
              <w:rPr>
                <w:rFonts w:hint="eastAsia"/>
                <w:color w:val="auto"/>
                <w:highlight w:val="none"/>
                <w:u w:val="single"/>
              </w:rPr>
              <w:t>《建筑与市政工程施工质量控制通用规范》GB 55032</w:t>
            </w:r>
          </w:p>
        </w:tc>
      </w:tr>
    </w:tbl>
    <w:p w14:paraId="32972AE8">
      <w:r>
        <w:br w:type="page"/>
      </w:r>
    </w:p>
    <w:tbl>
      <w:tblPr>
        <w:tblStyle w:val="7"/>
        <w:tblW w:w="940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686"/>
        <w:gridCol w:w="4716"/>
      </w:tblGrid>
      <w:tr w14:paraId="5D52E6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Header/>
        </w:trPr>
        <w:tc>
          <w:tcPr>
            <w:tcW w:w="4686" w:type="dxa"/>
            <w:vAlign w:val="top"/>
          </w:tcPr>
          <w:p w14:paraId="1A94181E">
            <w:pPr>
              <w:spacing w:before="120" w:beforeLines="50" w:after="120" w:afterLines="50"/>
              <w:jc w:val="center"/>
              <w:rPr>
                <w:rFonts w:hint="eastAsia" w:ascii="Times New Roman" w:hAnsi="Times New Roman" w:eastAsia="宋体"/>
                <w:b/>
                <w:bCs/>
                <w:szCs w:val="21"/>
                <w:lang w:val="en-US" w:eastAsia="zh-CN"/>
              </w:rPr>
            </w:pPr>
            <w:r>
              <w:rPr>
                <w:rFonts w:ascii="Times New Roman" w:hAnsi="Times New Roman"/>
                <w:b/>
                <w:bCs/>
                <w:szCs w:val="21"/>
              </w:rPr>
              <w:t>现行《标准》条文</w:t>
            </w:r>
            <w:r>
              <w:rPr>
                <w:rFonts w:hint="eastAsia"/>
                <w:b/>
                <w:bCs/>
                <w:szCs w:val="21"/>
                <w:lang w:val="en-US" w:eastAsia="zh-CN"/>
              </w:rPr>
              <w:t>说明</w:t>
            </w:r>
          </w:p>
        </w:tc>
        <w:tc>
          <w:tcPr>
            <w:tcW w:w="4716" w:type="dxa"/>
          </w:tcPr>
          <w:p w14:paraId="3582D3BC">
            <w:pPr>
              <w:spacing w:before="120" w:beforeLines="50" w:after="120" w:afterLines="50"/>
              <w:jc w:val="center"/>
              <w:rPr>
                <w:rFonts w:ascii="Times New Roman" w:hAnsi="Times New Roman"/>
                <w:b/>
                <w:bCs/>
                <w:szCs w:val="21"/>
              </w:rPr>
            </w:pPr>
            <w:r>
              <w:rPr>
                <w:rFonts w:ascii="Times New Roman" w:hAnsi="Times New Roman"/>
                <w:b/>
                <w:bCs/>
                <w:szCs w:val="21"/>
              </w:rPr>
              <w:t>局部修订征求意见稿</w:t>
            </w:r>
          </w:p>
        </w:tc>
      </w:tr>
      <w:tr w14:paraId="5E0AFF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686" w:type="dxa"/>
            <w:shd w:val="clear" w:color="auto" w:fill="auto"/>
            <w:vAlign w:val="top"/>
          </w:tcPr>
          <w:p w14:paraId="6D559DEB">
            <w:pPr>
              <w:keepNext w:val="0"/>
              <w:keepLines w:val="0"/>
              <w:pageBreakBefore w:val="0"/>
              <w:widowControl w:val="0"/>
              <w:kinsoku/>
              <w:wordWrap/>
              <w:overflowPunct/>
              <w:topLinePunct w:val="0"/>
              <w:autoSpaceDE/>
              <w:autoSpaceDN/>
              <w:bidi w:val="0"/>
              <w:adjustRightInd/>
              <w:spacing w:line="360" w:lineRule="auto"/>
              <w:textAlignment w:val="auto"/>
              <w:rPr>
                <w:rFonts w:hint="default" w:ascii="Times New Roman" w:hAnsi="Times New Roman" w:eastAsia="宋体" w:cs="Times New Roman"/>
                <w:b/>
                <w:bCs/>
                <w:kern w:val="2"/>
                <w:sz w:val="21"/>
                <w:szCs w:val="21"/>
                <w:lang w:val="en-US" w:eastAsia="zh-CN" w:bidi="ar-SA"/>
              </w:rPr>
            </w:pPr>
            <w:r>
              <w:rPr>
                <w:b/>
                <w:color w:val="auto"/>
                <w:highlight w:val="none"/>
              </w:rPr>
              <w:t xml:space="preserve">3.1.3  </w:t>
            </w:r>
            <w:r>
              <w:rPr>
                <w:bCs/>
                <w:color w:val="auto"/>
                <w:highlight w:val="none"/>
              </w:rPr>
              <w:t>含有机物的墙体材料</w:t>
            </w:r>
            <w:r>
              <w:rPr>
                <w:rFonts w:hint="eastAsia"/>
                <w:bCs/>
                <w:color w:val="auto"/>
                <w:highlight w:val="none"/>
              </w:rPr>
              <w:t>（</w:t>
            </w:r>
            <w:r>
              <w:rPr>
                <w:bCs/>
                <w:color w:val="auto"/>
                <w:highlight w:val="none"/>
              </w:rPr>
              <w:t>如EPS、XPS等保温材料及有机材料连接件等</w:t>
            </w:r>
            <w:r>
              <w:rPr>
                <w:rFonts w:hint="eastAsia"/>
                <w:bCs/>
                <w:color w:val="auto"/>
                <w:highlight w:val="none"/>
              </w:rPr>
              <w:t>）</w:t>
            </w:r>
            <w:r>
              <w:rPr>
                <w:bCs/>
                <w:color w:val="auto"/>
                <w:highlight w:val="none"/>
              </w:rPr>
              <w:t>的设计使用年限关系到建筑物的正常使用，故对该类墙体材料提出此要求，这既可使生产厂家增强产品质量意识，也可为墙体的后期更换提供依据。</w:t>
            </w:r>
          </w:p>
        </w:tc>
        <w:tc>
          <w:tcPr>
            <w:tcW w:w="4716" w:type="dxa"/>
            <w:shd w:val="clear" w:color="auto" w:fill="auto"/>
            <w:vAlign w:val="top"/>
          </w:tcPr>
          <w:p w14:paraId="5B8939A2">
            <w:pPr>
              <w:keepNext w:val="0"/>
              <w:keepLines w:val="0"/>
              <w:pageBreakBefore w:val="0"/>
              <w:widowControl w:val="0"/>
              <w:kinsoku/>
              <w:wordWrap/>
              <w:overflowPunct/>
              <w:topLinePunct w:val="0"/>
              <w:autoSpaceDE/>
              <w:autoSpaceDN/>
              <w:bidi w:val="0"/>
              <w:adjustRightInd/>
              <w:spacing w:line="360" w:lineRule="auto"/>
              <w:textAlignment w:val="auto"/>
              <w:rPr>
                <w:rFonts w:hint="default" w:ascii="Times New Roman" w:hAnsi="Times New Roman" w:eastAsia="宋体" w:cs="Times New Roman"/>
                <w:b/>
                <w:bCs/>
                <w:kern w:val="2"/>
                <w:sz w:val="21"/>
                <w:szCs w:val="21"/>
                <w:lang w:val="en-US" w:eastAsia="zh-CN" w:bidi="ar-SA"/>
              </w:rPr>
            </w:pPr>
            <w:r>
              <w:rPr>
                <w:b/>
                <w:color w:val="auto"/>
                <w:highlight w:val="none"/>
              </w:rPr>
              <w:t xml:space="preserve">3.1.3  </w:t>
            </w:r>
            <w:r>
              <w:rPr>
                <w:bCs/>
                <w:color w:val="auto"/>
                <w:highlight w:val="none"/>
              </w:rPr>
              <w:t>含有机物的墙体材料</w:t>
            </w:r>
            <w:r>
              <w:rPr>
                <w:rFonts w:hint="eastAsia"/>
                <w:bCs/>
                <w:color w:val="auto"/>
                <w:highlight w:val="none"/>
              </w:rPr>
              <w:t>（</w:t>
            </w:r>
            <w:r>
              <w:rPr>
                <w:bCs/>
                <w:color w:val="auto"/>
                <w:highlight w:val="none"/>
              </w:rPr>
              <w:t>如EPS、XPS等保温材料及有机材料连接件等</w:t>
            </w:r>
            <w:r>
              <w:rPr>
                <w:rFonts w:hint="eastAsia"/>
                <w:bCs/>
                <w:color w:val="auto"/>
                <w:highlight w:val="none"/>
              </w:rPr>
              <w:t>）</w:t>
            </w:r>
            <w:r>
              <w:rPr>
                <w:bCs/>
                <w:color w:val="auto"/>
                <w:highlight w:val="none"/>
              </w:rPr>
              <w:t>的设计</w:t>
            </w:r>
            <w:r>
              <w:rPr>
                <w:bCs/>
                <w:color w:val="auto"/>
                <w:highlight w:val="none"/>
                <w:bdr w:val="single" w:sz="0" w:space="0"/>
              </w:rPr>
              <w:t>使用</w:t>
            </w:r>
            <w:r>
              <w:rPr>
                <w:rFonts w:hint="eastAsia"/>
                <w:bCs/>
                <w:color w:val="auto"/>
                <w:highlight w:val="none"/>
                <w:u w:val="single"/>
                <w:lang w:val="en-US" w:eastAsia="zh-CN"/>
              </w:rPr>
              <w:t>工作</w:t>
            </w:r>
            <w:r>
              <w:rPr>
                <w:bCs/>
                <w:color w:val="auto"/>
                <w:highlight w:val="none"/>
              </w:rPr>
              <w:t>年限关系到建筑物的正常使用，故对该类墙体材料提出此要求，这既可使生产厂家增强产品质量意识，也可为墙体的后期更换提供依据。</w:t>
            </w:r>
          </w:p>
        </w:tc>
      </w:tr>
      <w:tr w14:paraId="1FB296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686" w:type="dxa"/>
            <w:shd w:val="clear" w:color="auto" w:fill="auto"/>
            <w:vAlign w:val="top"/>
          </w:tcPr>
          <w:p w14:paraId="574470D7">
            <w:pPr>
              <w:keepNext w:val="0"/>
              <w:keepLines w:val="0"/>
              <w:pageBreakBefore w:val="0"/>
              <w:widowControl w:val="0"/>
              <w:kinsoku/>
              <w:wordWrap/>
              <w:overflowPunct/>
              <w:topLinePunct w:val="0"/>
              <w:autoSpaceDE/>
              <w:autoSpaceDN/>
              <w:bidi w:val="0"/>
              <w:adjustRightInd/>
              <w:snapToGrid w:val="0"/>
              <w:spacing w:line="360" w:lineRule="auto"/>
              <w:textAlignment w:val="auto"/>
              <w:rPr>
                <w:rFonts w:ascii="Times New Roman" w:hAnsi="Times New Roman" w:eastAsia="宋体" w:cs="Times New Roman"/>
                <w:bCs/>
                <w:kern w:val="2"/>
                <w:sz w:val="21"/>
                <w:szCs w:val="21"/>
                <w:lang w:val="en-US" w:eastAsia="zh-CN" w:bidi="ar-SA"/>
              </w:rPr>
            </w:pPr>
            <w:r>
              <w:rPr>
                <w:b/>
                <w:color w:val="auto"/>
                <w:highlight w:val="none"/>
              </w:rPr>
              <w:t>3.1.5</w:t>
            </w:r>
            <w:r>
              <w:rPr>
                <w:bCs/>
                <w:color w:val="auto"/>
                <w:highlight w:val="none"/>
              </w:rPr>
              <w:t xml:space="preserve">  工程实践表明，一些以氯氧镁为原材料生产的制品，出现了较多的工程质量问题。由于在原材料、生产配方以及在生产工艺上存在着问题，造成了氯氧镁制品的一个突出弊病——吸潮返卤和翘曲变形。制品出现吸潮返卤后，表面出现水珠或变湿；翘曲变形会引起墙体开裂，严重地影响了装饰质量和使用效果，降低了产品强度，缩短了制品的</w:t>
            </w:r>
            <w:r>
              <w:rPr>
                <w:color w:val="auto"/>
                <w:highlight w:val="none"/>
              </w:rPr>
              <w:t>使用寿命</w:t>
            </w:r>
            <w:r>
              <w:rPr>
                <w:rFonts w:hint="eastAsia"/>
                <w:color w:val="auto"/>
                <w:highlight w:val="none"/>
                <w:lang w:val="en-US" w:eastAsia="zh-CN"/>
              </w:rPr>
              <w:t>工作年限</w:t>
            </w:r>
            <w:r>
              <w:rPr>
                <w:bCs/>
                <w:color w:val="auto"/>
                <w:highlight w:val="none"/>
              </w:rPr>
              <w:t>，这种现象在长期处于高湿度环境下及长江以南的高温高湿地区尤为严重。</w:t>
            </w:r>
          </w:p>
        </w:tc>
        <w:tc>
          <w:tcPr>
            <w:tcW w:w="4716" w:type="dxa"/>
            <w:shd w:val="clear" w:color="auto" w:fill="auto"/>
            <w:vAlign w:val="top"/>
          </w:tcPr>
          <w:p w14:paraId="67ECC7EF">
            <w:pPr>
              <w:keepNext w:val="0"/>
              <w:keepLines w:val="0"/>
              <w:pageBreakBefore w:val="0"/>
              <w:widowControl w:val="0"/>
              <w:kinsoku/>
              <w:wordWrap/>
              <w:overflowPunct/>
              <w:topLinePunct w:val="0"/>
              <w:autoSpaceDE/>
              <w:autoSpaceDN/>
              <w:bidi w:val="0"/>
              <w:adjustRightInd/>
              <w:snapToGrid w:val="0"/>
              <w:spacing w:line="360" w:lineRule="auto"/>
              <w:textAlignment w:val="auto"/>
              <w:rPr>
                <w:rFonts w:ascii="Times New Roman" w:hAnsi="Times New Roman" w:eastAsia="宋体" w:cs="Times New Roman"/>
                <w:bCs/>
                <w:kern w:val="2"/>
                <w:sz w:val="21"/>
                <w:szCs w:val="21"/>
                <w:lang w:val="en-US" w:eastAsia="zh-CN" w:bidi="ar-SA"/>
              </w:rPr>
            </w:pPr>
            <w:r>
              <w:rPr>
                <w:b/>
                <w:color w:val="auto"/>
                <w:highlight w:val="none"/>
              </w:rPr>
              <w:t>3.1.5</w:t>
            </w:r>
            <w:r>
              <w:rPr>
                <w:bCs/>
                <w:color w:val="auto"/>
                <w:highlight w:val="none"/>
              </w:rPr>
              <w:t xml:space="preserve">  工程实践表明，一些以氯氧镁为原材料生产的制品，出现了较多的工程质量问题。由于在原材料、生产配方以及在生产工艺上存在着问题，造成了氯氧镁制品的一个突出弊病——吸潮返卤和翘曲变形。制品出现吸潮返卤后，表面出现水珠或变湿；翘曲变形会引起墙体开裂，严重地影响了装饰质量和使用效果，降低了产品强度，缩短了制品的</w:t>
            </w:r>
            <w:r>
              <w:rPr>
                <w:color w:val="auto"/>
                <w:highlight w:val="none"/>
                <w:bdr w:val="single" w:sz="0" w:space="0"/>
              </w:rPr>
              <w:t>使用寿命</w:t>
            </w:r>
            <w:r>
              <w:rPr>
                <w:rFonts w:hint="eastAsia"/>
                <w:color w:val="auto"/>
                <w:highlight w:val="none"/>
                <w:u w:val="single"/>
                <w:lang w:val="en-US" w:eastAsia="zh-CN"/>
              </w:rPr>
              <w:t>工作年限</w:t>
            </w:r>
            <w:r>
              <w:rPr>
                <w:bCs/>
                <w:color w:val="auto"/>
                <w:highlight w:val="none"/>
              </w:rPr>
              <w:t>，这种现象在长期处于高湿度环境下及长江以南的高温高湿地区尤为严重。</w:t>
            </w:r>
          </w:p>
        </w:tc>
      </w:tr>
      <w:tr w14:paraId="03E4D0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686" w:type="dxa"/>
            <w:shd w:val="clear" w:color="auto" w:fill="auto"/>
            <w:vAlign w:val="top"/>
          </w:tcPr>
          <w:p w14:paraId="2D14B7DF">
            <w:pPr>
              <w:keepNext w:val="0"/>
              <w:keepLines w:val="0"/>
              <w:pageBreakBefore w:val="0"/>
              <w:widowControl w:val="0"/>
              <w:kinsoku/>
              <w:wordWrap/>
              <w:overflowPunct/>
              <w:topLinePunct w:val="0"/>
              <w:autoSpaceDE/>
              <w:autoSpaceDN/>
              <w:bidi w:val="0"/>
              <w:adjustRightInd/>
              <w:spacing w:line="360" w:lineRule="auto"/>
              <w:textAlignment w:val="auto"/>
              <w:rPr>
                <w:rFonts w:ascii="Times New Roman" w:hAnsi="Times New Roman" w:eastAsia="宋体" w:cs="Times New Roman"/>
                <w:bCs/>
                <w:kern w:val="2"/>
                <w:sz w:val="21"/>
                <w:szCs w:val="21"/>
                <w:lang w:val="en-US" w:eastAsia="zh-CN" w:bidi="ar-SA"/>
              </w:rPr>
            </w:pPr>
            <w:r>
              <w:rPr>
                <w:b/>
                <w:bCs w:val="0"/>
                <w:color w:val="auto"/>
                <w:highlight w:val="none"/>
              </w:rPr>
              <w:t>3.3.7</w:t>
            </w:r>
            <w:r>
              <w:rPr>
                <w:bCs/>
                <w:color w:val="auto"/>
                <w:highlight w:val="none"/>
              </w:rPr>
              <w:t xml:space="preserve">  由于预制外墙板的受力特点和使用环境不同于内墙板，板的抗风能力、连接节点的承载及变形能力、板部件的使用</w:t>
            </w:r>
            <w:r>
              <w:rPr>
                <w:rFonts w:hint="eastAsia"/>
                <w:bCs/>
                <w:color w:val="auto"/>
                <w:highlight w:val="none"/>
                <w:lang w:val="en-US" w:eastAsia="zh-CN"/>
              </w:rPr>
              <w:t>寿命</w:t>
            </w:r>
            <w:r>
              <w:rPr>
                <w:bCs/>
                <w:color w:val="auto"/>
                <w:highlight w:val="none"/>
              </w:rPr>
              <w:t>直接关系到外墙板的使用安全与耐久性，因此要求预制企业必须按实际应用条件设计与制作。</w:t>
            </w:r>
          </w:p>
        </w:tc>
        <w:tc>
          <w:tcPr>
            <w:tcW w:w="4716" w:type="dxa"/>
            <w:shd w:val="clear" w:color="auto" w:fill="auto"/>
            <w:vAlign w:val="top"/>
          </w:tcPr>
          <w:p w14:paraId="1E8359AA">
            <w:pPr>
              <w:keepNext w:val="0"/>
              <w:keepLines w:val="0"/>
              <w:pageBreakBefore w:val="0"/>
              <w:widowControl w:val="0"/>
              <w:kinsoku/>
              <w:wordWrap/>
              <w:overflowPunct/>
              <w:topLinePunct w:val="0"/>
              <w:autoSpaceDE/>
              <w:autoSpaceDN/>
              <w:bidi w:val="0"/>
              <w:adjustRightInd/>
              <w:spacing w:line="360" w:lineRule="auto"/>
              <w:textAlignment w:val="auto"/>
              <w:rPr>
                <w:rFonts w:ascii="Times New Roman" w:hAnsi="Times New Roman" w:eastAsia="宋体" w:cs="Times New Roman"/>
                <w:bCs/>
                <w:kern w:val="2"/>
                <w:sz w:val="21"/>
                <w:szCs w:val="21"/>
                <w:lang w:val="en-US" w:eastAsia="zh-CN" w:bidi="ar-SA"/>
              </w:rPr>
            </w:pPr>
            <w:r>
              <w:rPr>
                <w:b/>
                <w:bCs w:val="0"/>
                <w:color w:val="auto"/>
                <w:highlight w:val="none"/>
              </w:rPr>
              <w:t>3.3.7</w:t>
            </w:r>
            <w:r>
              <w:rPr>
                <w:bCs/>
                <w:color w:val="auto"/>
                <w:highlight w:val="none"/>
              </w:rPr>
              <w:t xml:space="preserve">  由于预制外墙板的受力特点和使用环境不同于内墙板，板的抗风能力、连接节点的承载及变形能力、板部件的</w:t>
            </w:r>
            <w:r>
              <w:rPr>
                <w:bCs/>
                <w:color w:val="auto"/>
                <w:highlight w:val="none"/>
                <w:bdr w:val="single" w:sz="0" w:space="0"/>
              </w:rPr>
              <w:t>使用</w:t>
            </w:r>
            <w:r>
              <w:rPr>
                <w:rFonts w:hint="eastAsia"/>
                <w:bCs/>
                <w:color w:val="auto"/>
                <w:highlight w:val="none"/>
                <w:bdr w:val="single" w:sz="0" w:space="0"/>
                <w:lang w:val="en-US" w:eastAsia="zh-CN"/>
              </w:rPr>
              <w:t>寿命</w:t>
            </w:r>
            <w:r>
              <w:rPr>
                <w:rFonts w:hint="eastAsia"/>
                <w:bCs/>
                <w:color w:val="auto"/>
                <w:highlight w:val="none"/>
                <w:u w:val="single"/>
                <w:lang w:val="en-US" w:eastAsia="zh-CN"/>
              </w:rPr>
              <w:t>工作年限</w:t>
            </w:r>
            <w:r>
              <w:rPr>
                <w:bCs/>
                <w:color w:val="auto"/>
                <w:highlight w:val="none"/>
              </w:rPr>
              <w:t>直接关系到外墙板的使用安全与耐久性，因此要求预制企业必须按实际应用条件设计与制作。</w:t>
            </w:r>
          </w:p>
        </w:tc>
      </w:tr>
      <w:tr w14:paraId="16E8C8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686" w:type="dxa"/>
            <w:shd w:val="clear" w:color="auto" w:fill="auto"/>
            <w:vAlign w:val="top"/>
          </w:tcPr>
          <w:p w14:paraId="42C9F01F">
            <w:pPr>
              <w:keepNext w:val="0"/>
              <w:keepLines w:val="0"/>
              <w:pageBreakBefore w:val="0"/>
              <w:widowControl w:val="0"/>
              <w:kinsoku/>
              <w:wordWrap/>
              <w:overflowPunct/>
              <w:topLinePunct w:val="0"/>
              <w:autoSpaceDE/>
              <w:autoSpaceDN/>
              <w:bidi w:val="0"/>
              <w:adjustRightInd/>
              <w:spacing w:line="360" w:lineRule="auto"/>
              <w:textAlignment w:val="auto"/>
              <w:rPr>
                <w:rFonts w:ascii="Times New Roman" w:hAnsi="Times New Roman" w:eastAsia="宋体" w:cs="Times New Roman"/>
                <w:bCs/>
                <w:kern w:val="2"/>
                <w:sz w:val="21"/>
                <w:szCs w:val="21"/>
                <w:lang w:val="en-US" w:eastAsia="zh-CN" w:bidi="ar-SA"/>
              </w:rPr>
            </w:pPr>
          </w:p>
        </w:tc>
        <w:tc>
          <w:tcPr>
            <w:tcW w:w="4716" w:type="dxa"/>
            <w:shd w:val="clear" w:color="auto" w:fill="auto"/>
            <w:vAlign w:val="top"/>
          </w:tcPr>
          <w:p w14:paraId="087BDF59">
            <w:pPr>
              <w:keepNext w:val="0"/>
              <w:keepLines w:val="0"/>
              <w:pageBreakBefore w:val="0"/>
              <w:widowControl w:val="0"/>
              <w:kinsoku/>
              <w:wordWrap/>
              <w:overflowPunct/>
              <w:topLinePunct w:val="0"/>
              <w:autoSpaceDE/>
              <w:autoSpaceDN/>
              <w:bidi w:val="0"/>
              <w:adjustRightInd/>
              <w:spacing w:line="360" w:lineRule="auto"/>
              <w:textAlignment w:val="auto"/>
              <w:rPr>
                <w:rFonts w:ascii="Times New Roman" w:hAnsi="Times New Roman" w:eastAsia="宋体" w:cs="Times New Roman"/>
                <w:bCs/>
                <w:kern w:val="2"/>
                <w:sz w:val="21"/>
                <w:szCs w:val="21"/>
                <w:lang w:val="en-US" w:eastAsia="zh-CN" w:bidi="ar-SA"/>
              </w:rPr>
            </w:pPr>
            <w:r>
              <w:rPr>
                <w:rFonts w:hint="eastAsia" w:ascii="Times New Roman" w:hAnsi="Times New Roman" w:eastAsia="宋体" w:cs="Times New Roman"/>
                <w:b/>
                <w:bCs w:val="0"/>
                <w:color w:val="auto"/>
                <w:highlight w:val="none"/>
                <w:u w:val="single"/>
                <w:lang w:val="en-US" w:eastAsia="zh-CN"/>
              </w:rPr>
              <w:t>4.1.3</w:t>
            </w:r>
            <w:r>
              <w:rPr>
                <w:rFonts w:hint="eastAsia"/>
                <w:bCs/>
                <w:color w:val="auto"/>
                <w:highlight w:val="none"/>
                <w:u w:val="none"/>
                <w:lang w:val="en-US" w:eastAsia="zh-CN"/>
              </w:rPr>
              <w:t xml:space="preserve">  </w:t>
            </w:r>
            <w:r>
              <w:rPr>
                <w:rFonts w:hint="eastAsia"/>
                <w:b w:val="0"/>
                <w:bCs/>
                <w:color w:val="auto"/>
                <w:kern w:val="2"/>
                <w:sz w:val="21"/>
                <w:szCs w:val="21"/>
                <w:highlight w:val="none"/>
                <w:u w:val="single"/>
                <w:lang w:val="en-US" w:eastAsia="zh-CN" w:bidi="ar-SA"/>
              </w:rPr>
              <w:t>加强措施可包括增设护角线条、使用耐碱网格布和抗冲击砂浆增强面层等</w:t>
            </w:r>
            <w:r>
              <w:rPr>
                <w:rFonts w:hint="eastAsia"/>
                <w:bCs/>
                <w:color w:val="auto"/>
                <w:kern w:val="2"/>
                <w:sz w:val="21"/>
                <w:szCs w:val="21"/>
                <w:highlight w:val="none"/>
                <w:u w:val="single"/>
                <w:lang w:val="en-US" w:eastAsia="zh-CN" w:bidi="ar-SA"/>
              </w:rPr>
              <w:t>。</w:t>
            </w:r>
          </w:p>
        </w:tc>
      </w:tr>
      <w:tr w14:paraId="0B7EFC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686" w:type="dxa"/>
            <w:shd w:val="clear" w:color="auto" w:fill="auto"/>
            <w:vAlign w:val="top"/>
          </w:tcPr>
          <w:p w14:paraId="32050D18">
            <w:pPr>
              <w:keepNext w:val="0"/>
              <w:keepLines w:val="0"/>
              <w:pageBreakBefore w:val="0"/>
              <w:widowControl w:val="0"/>
              <w:kinsoku/>
              <w:wordWrap/>
              <w:overflowPunct/>
              <w:topLinePunct w:val="0"/>
              <w:autoSpaceDE/>
              <w:autoSpaceDN/>
              <w:bidi w:val="0"/>
              <w:adjustRightInd/>
              <w:spacing w:line="360" w:lineRule="auto"/>
              <w:textAlignment w:val="auto"/>
              <w:rPr>
                <w:rFonts w:ascii="Times New Roman" w:hAnsi="Times New Roman" w:eastAsia="宋体" w:cs="Times New Roman"/>
                <w:bCs/>
                <w:kern w:val="2"/>
                <w:sz w:val="21"/>
                <w:szCs w:val="21"/>
                <w:lang w:val="en-US" w:eastAsia="zh-CN" w:bidi="ar-SA"/>
              </w:rPr>
            </w:pPr>
            <w:r>
              <w:rPr>
                <w:b/>
                <w:color w:val="auto"/>
                <w:highlight w:val="none"/>
              </w:rPr>
              <w:t xml:space="preserve">4.2.4 </w:t>
            </w:r>
            <w:r>
              <w:rPr>
                <w:bCs/>
                <w:color w:val="auto"/>
                <w:highlight w:val="none"/>
              </w:rPr>
              <w:t xml:space="preserve"> 目前存在着保温墙体的保温材料及其系统与主体墙体的寿命相差较大的现象。一些质量低劣的保温材料被应用于节能墙体上，致使建筑物在启用后不久外墙面发生严重的损坏，影响节能效果及建筑安全，为此材料厂家应向用户及设计单位提供系统使用年限的承诺，以便增强企业的质量意识，也可有助于外保温体系达到设计使用年限时墙体维护措施的制定。</w:t>
            </w:r>
          </w:p>
        </w:tc>
        <w:tc>
          <w:tcPr>
            <w:tcW w:w="4716" w:type="dxa"/>
            <w:shd w:val="clear" w:color="auto" w:fill="auto"/>
            <w:vAlign w:val="top"/>
          </w:tcPr>
          <w:p w14:paraId="2EC65768">
            <w:pPr>
              <w:keepNext w:val="0"/>
              <w:keepLines w:val="0"/>
              <w:pageBreakBefore w:val="0"/>
              <w:widowControl w:val="0"/>
              <w:kinsoku/>
              <w:wordWrap/>
              <w:overflowPunct/>
              <w:topLinePunct w:val="0"/>
              <w:autoSpaceDE/>
              <w:autoSpaceDN/>
              <w:bidi w:val="0"/>
              <w:adjustRightInd/>
              <w:spacing w:line="360" w:lineRule="auto"/>
              <w:textAlignment w:val="auto"/>
              <w:rPr>
                <w:rFonts w:ascii="Times New Roman" w:hAnsi="Times New Roman" w:eastAsia="宋体" w:cs="Times New Roman"/>
                <w:bCs/>
                <w:kern w:val="2"/>
                <w:sz w:val="21"/>
                <w:szCs w:val="21"/>
                <w:lang w:val="en-US" w:eastAsia="zh-CN" w:bidi="ar-SA"/>
              </w:rPr>
            </w:pPr>
            <w:r>
              <w:rPr>
                <w:b/>
                <w:color w:val="auto"/>
                <w:highlight w:val="none"/>
              </w:rPr>
              <w:t xml:space="preserve">4.2.4 </w:t>
            </w:r>
            <w:r>
              <w:rPr>
                <w:bCs/>
                <w:color w:val="auto"/>
                <w:highlight w:val="none"/>
              </w:rPr>
              <w:t xml:space="preserve"> 目前存在着保温墙体的保温材料及其系统与主体墙体的寿命相差较大的现象。一些质量低劣的保温材料被应用于节能墙体上，致使建筑物在启用后不久外墙面发生严重的损坏，影响节能效果及建筑安全，为此材料厂家应向用户及设计单位提供系统</w:t>
            </w:r>
            <w:r>
              <w:rPr>
                <w:bCs/>
                <w:color w:val="auto"/>
                <w:highlight w:val="none"/>
                <w:bdr w:val="single" w:sz="0" w:space="0"/>
              </w:rPr>
              <w:t>使用</w:t>
            </w:r>
            <w:r>
              <w:rPr>
                <w:rFonts w:hint="eastAsia"/>
                <w:bCs/>
                <w:color w:val="auto"/>
                <w:highlight w:val="none"/>
                <w:u w:val="single"/>
                <w:lang w:val="en-US" w:eastAsia="zh-CN"/>
              </w:rPr>
              <w:t>工作</w:t>
            </w:r>
            <w:r>
              <w:rPr>
                <w:bCs/>
                <w:color w:val="auto"/>
                <w:highlight w:val="none"/>
              </w:rPr>
              <w:t>年限的承诺，以便增强企业的质量意识，也可有助于外保温体系达到设计</w:t>
            </w:r>
            <w:r>
              <w:rPr>
                <w:bCs/>
                <w:color w:val="auto"/>
                <w:highlight w:val="none"/>
                <w:bdr w:val="single" w:sz="0" w:space="0"/>
              </w:rPr>
              <w:t>使用</w:t>
            </w:r>
            <w:r>
              <w:rPr>
                <w:rFonts w:hint="eastAsia"/>
                <w:bCs/>
                <w:color w:val="auto"/>
                <w:highlight w:val="none"/>
                <w:u w:val="single"/>
                <w:lang w:val="en-US" w:eastAsia="zh-CN"/>
              </w:rPr>
              <w:t>工作</w:t>
            </w:r>
            <w:r>
              <w:rPr>
                <w:bCs/>
                <w:color w:val="auto"/>
                <w:highlight w:val="none"/>
              </w:rPr>
              <w:t>年限时墙体维护措施的制定。</w:t>
            </w:r>
            <w:r>
              <w:rPr>
                <w:rFonts w:hint="eastAsia"/>
                <w:color w:val="auto"/>
                <w:highlight w:val="none"/>
                <w:u w:val="single"/>
                <w:lang w:val="en-US" w:eastAsia="zh-CN"/>
              </w:rPr>
              <w:t>据对全国各类标准相关内容的统计，外保温系统的设计工作年限一般不低于25年。</w:t>
            </w:r>
          </w:p>
        </w:tc>
      </w:tr>
      <w:tr w14:paraId="7A6751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686" w:type="dxa"/>
            <w:shd w:val="clear" w:color="auto" w:fill="auto"/>
            <w:vAlign w:val="top"/>
          </w:tcPr>
          <w:p w14:paraId="07CCBB6E">
            <w:pPr>
              <w:keepNext w:val="0"/>
              <w:keepLines w:val="0"/>
              <w:pageBreakBefore w:val="0"/>
              <w:widowControl w:val="0"/>
              <w:kinsoku/>
              <w:wordWrap/>
              <w:overflowPunct/>
              <w:topLinePunct w:val="0"/>
              <w:autoSpaceDE/>
              <w:autoSpaceDN/>
              <w:bidi w:val="0"/>
              <w:adjustRightInd/>
              <w:spacing w:line="360" w:lineRule="auto"/>
              <w:textAlignment w:val="auto"/>
              <w:rPr>
                <w:rFonts w:ascii="Times New Roman" w:hAnsi="Times New Roman" w:eastAsia="宋体" w:cs="Times New Roman"/>
                <w:bCs/>
                <w:kern w:val="2"/>
                <w:sz w:val="21"/>
                <w:szCs w:val="21"/>
                <w:lang w:val="en-US" w:eastAsia="zh-CN" w:bidi="ar-SA"/>
              </w:rPr>
            </w:pPr>
            <w:r>
              <w:rPr>
                <w:b/>
                <w:color w:val="auto"/>
                <w:highlight w:val="none"/>
              </w:rPr>
              <w:t>4.2.5</w:t>
            </w:r>
            <w:r>
              <w:rPr>
                <w:bCs/>
                <w:color w:val="auto"/>
                <w:highlight w:val="none"/>
              </w:rPr>
              <w:t xml:space="preserve">  </w:t>
            </w:r>
            <w:r>
              <w:rPr>
                <w:rFonts w:hint="eastAsia"/>
                <w:bCs/>
                <w:color w:val="auto"/>
                <w:highlight w:val="none"/>
              </w:rPr>
              <w:t>当前，多数建筑外墙保温系统的</w:t>
            </w:r>
            <w:r>
              <w:rPr>
                <w:bCs/>
                <w:color w:val="auto"/>
                <w:highlight w:val="none"/>
              </w:rPr>
              <w:t>使用</w:t>
            </w:r>
            <w:r>
              <w:rPr>
                <w:rFonts w:hint="eastAsia"/>
                <w:bCs/>
                <w:color w:val="auto"/>
                <w:highlight w:val="none"/>
              </w:rPr>
              <w:t>寿命低于主体结构的设计</w:t>
            </w:r>
            <w:r>
              <w:rPr>
                <w:bCs/>
                <w:color w:val="auto"/>
                <w:highlight w:val="none"/>
              </w:rPr>
              <w:t>使用</w:t>
            </w:r>
            <w:r>
              <w:rPr>
                <w:rFonts w:hint="eastAsia"/>
                <w:bCs/>
                <w:color w:val="auto"/>
                <w:highlight w:val="none"/>
              </w:rPr>
              <w:t>年限，而业主往往对此并不知情，房屋在使用期间保温系统一旦出现问题，设计技术文件可为业主提供法律依据。此举也有助于房屋产权单位制定墙体保温系统维护制度及提前制定更换预案。</w:t>
            </w:r>
          </w:p>
        </w:tc>
        <w:tc>
          <w:tcPr>
            <w:tcW w:w="4716" w:type="dxa"/>
            <w:shd w:val="clear" w:color="auto" w:fill="auto"/>
            <w:vAlign w:val="top"/>
          </w:tcPr>
          <w:p w14:paraId="7841C21C">
            <w:pPr>
              <w:keepNext w:val="0"/>
              <w:keepLines w:val="0"/>
              <w:pageBreakBefore w:val="0"/>
              <w:widowControl w:val="0"/>
              <w:kinsoku/>
              <w:wordWrap/>
              <w:overflowPunct/>
              <w:topLinePunct w:val="0"/>
              <w:autoSpaceDE/>
              <w:autoSpaceDN/>
              <w:bidi w:val="0"/>
              <w:adjustRightInd/>
              <w:spacing w:line="360" w:lineRule="auto"/>
              <w:textAlignment w:val="auto"/>
              <w:rPr>
                <w:rFonts w:ascii="Times New Roman" w:hAnsi="Times New Roman" w:eastAsia="宋体" w:cs="Times New Roman"/>
                <w:bCs/>
                <w:kern w:val="2"/>
                <w:sz w:val="21"/>
                <w:szCs w:val="21"/>
                <w:lang w:val="en-US" w:eastAsia="zh-CN" w:bidi="ar-SA"/>
              </w:rPr>
            </w:pPr>
            <w:r>
              <w:rPr>
                <w:b/>
                <w:color w:val="auto"/>
                <w:highlight w:val="none"/>
              </w:rPr>
              <w:t>4.2.5</w:t>
            </w:r>
            <w:r>
              <w:rPr>
                <w:bCs/>
                <w:color w:val="auto"/>
                <w:highlight w:val="none"/>
              </w:rPr>
              <w:t xml:space="preserve">  </w:t>
            </w:r>
            <w:r>
              <w:rPr>
                <w:rFonts w:hint="eastAsia"/>
                <w:bCs/>
                <w:color w:val="auto"/>
                <w:highlight w:val="none"/>
              </w:rPr>
              <w:t>当前，多数建筑外墙保温系统的</w:t>
            </w:r>
            <w:r>
              <w:rPr>
                <w:bCs/>
                <w:color w:val="auto"/>
                <w:highlight w:val="none"/>
                <w:bdr w:val="single" w:sz="0" w:space="0"/>
              </w:rPr>
              <w:t>使用</w:t>
            </w:r>
            <w:r>
              <w:rPr>
                <w:rFonts w:hint="eastAsia"/>
                <w:bCs/>
                <w:color w:val="auto"/>
                <w:highlight w:val="none"/>
                <w:u w:val="single"/>
                <w:lang w:val="en-US" w:eastAsia="zh-CN"/>
              </w:rPr>
              <w:t>工作</w:t>
            </w:r>
            <w:r>
              <w:rPr>
                <w:rFonts w:hint="eastAsia"/>
                <w:bCs/>
                <w:color w:val="auto"/>
                <w:highlight w:val="none"/>
              </w:rPr>
              <w:t>寿命低于主体结构的设计</w:t>
            </w:r>
            <w:r>
              <w:rPr>
                <w:bCs/>
                <w:color w:val="auto"/>
                <w:highlight w:val="none"/>
                <w:bdr w:val="single" w:sz="0" w:space="0"/>
              </w:rPr>
              <w:t>使用</w:t>
            </w:r>
            <w:r>
              <w:rPr>
                <w:rFonts w:hint="eastAsia"/>
                <w:bCs/>
                <w:color w:val="auto"/>
                <w:highlight w:val="none"/>
                <w:u w:val="single"/>
                <w:lang w:val="en-US" w:eastAsia="zh-CN"/>
              </w:rPr>
              <w:t>工作</w:t>
            </w:r>
            <w:r>
              <w:rPr>
                <w:rFonts w:hint="eastAsia"/>
                <w:bCs/>
                <w:color w:val="auto"/>
                <w:highlight w:val="none"/>
              </w:rPr>
              <w:t>年限，而业主往往对此并不知情，房屋在使用期间保温系统一旦出现问题，设计技术文件可为业主提供法律依据。此举也有助于房屋产权单位制定墙体保温系统维护制度及提前制定更换预案。</w:t>
            </w:r>
          </w:p>
        </w:tc>
      </w:tr>
      <w:tr w14:paraId="4D1EE2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686" w:type="dxa"/>
            <w:shd w:val="clear" w:color="auto" w:fill="auto"/>
            <w:vAlign w:val="top"/>
          </w:tcPr>
          <w:p w14:paraId="12A19854">
            <w:pPr>
              <w:keepNext w:val="0"/>
              <w:keepLines w:val="0"/>
              <w:pageBreakBefore w:val="0"/>
              <w:widowControl w:val="0"/>
              <w:kinsoku/>
              <w:wordWrap/>
              <w:overflowPunct/>
              <w:topLinePunct w:val="0"/>
              <w:autoSpaceDE/>
              <w:autoSpaceDN/>
              <w:bidi w:val="0"/>
              <w:adjustRightInd/>
              <w:spacing w:line="360" w:lineRule="auto"/>
              <w:textAlignment w:val="auto"/>
              <w:rPr>
                <w:rFonts w:ascii="Times New Roman" w:hAnsi="Times New Roman" w:eastAsia="宋体" w:cs="Times New Roman"/>
                <w:bCs/>
                <w:kern w:val="2"/>
                <w:sz w:val="21"/>
                <w:szCs w:val="21"/>
                <w:lang w:val="en-US" w:eastAsia="zh-CN" w:bidi="ar-SA"/>
              </w:rPr>
            </w:pPr>
            <w:r>
              <w:rPr>
                <w:b/>
                <w:bCs/>
                <w:color w:val="auto"/>
                <w:highlight w:val="none"/>
              </w:rPr>
              <w:t>5.1.1</w:t>
            </w:r>
            <w:r>
              <w:rPr>
                <w:color w:val="auto"/>
                <w:highlight w:val="none"/>
              </w:rPr>
              <w:t xml:space="preserve">  本规范根据《建筑结构可靠度设计统一标准》GB 50068。墙体结构设计采用概率极限状态设计原则，设计式采用荷载分项系数和材料性能分项系数表达形式。</w:t>
            </w:r>
          </w:p>
        </w:tc>
        <w:tc>
          <w:tcPr>
            <w:tcW w:w="4716" w:type="dxa"/>
            <w:shd w:val="clear" w:color="auto" w:fill="auto"/>
            <w:vAlign w:val="top"/>
          </w:tcPr>
          <w:p w14:paraId="2643BA27">
            <w:pPr>
              <w:keepNext w:val="0"/>
              <w:keepLines w:val="0"/>
              <w:pageBreakBefore w:val="0"/>
              <w:widowControl w:val="0"/>
              <w:kinsoku/>
              <w:wordWrap/>
              <w:overflowPunct/>
              <w:topLinePunct w:val="0"/>
              <w:autoSpaceDE/>
              <w:autoSpaceDN/>
              <w:bidi w:val="0"/>
              <w:adjustRightInd/>
              <w:spacing w:line="360" w:lineRule="auto"/>
              <w:textAlignment w:val="auto"/>
              <w:rPr>
                <w:rFonts w:ascii="Times New Roman" w:hAnsi="Times New Roman" w:eastAsia="宋体" w:cs="Times New Roman"/>
                <w:bCs/>
                <w:kern w:val="2"/>
                <w:sz w:val="21"/>
                <w:szCs w:val="21"/>
                <w:lang w:val="en-US" w:eastAsia="zh-CN" w:bidi="ar-SA"/>
              </w:rPr>
            </w:pPr>
            <w:r>
              <w:rPr>
                <w:b/>
                <w:bCs/>
                <w:color w:val="auto"/>
                <w:highlight w:val="none"/>
              </w:rPr>
              <w:t>5.1.1</w:t>
            </w:r>
            <w:r>
              <w:rPr>
                <w:color w:val="auto"/>
                <w:highlight w:val="none"/>
              </w:rPr>
              <w:t xml:space="preserve">  本规范根据《建筑结构可靠</w:t>
            </w:r>
            <w:r>
              <w:rPr>
                <w:color w:val="auto"/>
                <w:highlight w:val="none"/>
                <w:bdr w:val="single" w:sz="0" w:space="0"/>
              </w:rPr>
              <w:t>度</w:t>
            </w:r>
            <w:r>
              <w:rPr>
                <w:rFonts w:hint="eastAsia"/>
                <w:color w:val="auto"/>
                <w:highlight w:val="none"/>
                <w:u w:val="single"/>
                <w:lang w:val="en-US" w:eastAsia="zh-CN"/>
              </w:rPr>
              <w:t>性</w:t>
            </w:r>
            <w:r>
              <w:rPr>
                <w:color w:val="auto"/>
                <w:highlight w:val="none"/>
              </w:rPr>
              <w:t>设计统一标准》GB 50068。墙体结构设计采用概率极限状态设计原则，设计式采用荷载分项系数和材料性能分项系数表达形式。</w:t>
            </w:r>
          </w:p>
        </w:tc>
      </w:tr>
      <w:tr w14:paraId="783FD4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686" w:type="dxa"/>
            <w:shd w:val="clear" w:color="auto" w:fill="auto"/>
            <w:vAlign w:val="top"/>
          </w:tcPr>
          <w:p w14:paraId="2AFC965B">
            <w:pPr>
              <w:keepNext w:val="0"/>
              <w:keepLines w:val="0"/>
              <w:pageBreakBefore w:val="0"/>
              <w:widowControl w:val="0"/>
              <w:kinsoku/>
              <w:wordWrap/>
              <w:overflowPunct/>
              <w:topLinePunct w:val="0"/>
              <w:autoSpaceDE/>
              <w:autoSpaceDN/>
              <w:bidi w:val="0"/>
              <w:adjustRightInd/>
              <w:spacing w:line="360" w:lineRule="auto"/>
              <w:textAlignment w:val="auto"/>
              <w:rPr>
                <w:bCs/>
                <w:color w:val="auto"/>
                <w:highlight w:val="none"/>
              </w:rPr>
            </w:pPr>
            <w:r>
              <w:rPr>
                <w:b/>
                <w:color w:val="auto"/>
                <w:highlight w:val="none"/>
              </w:rPr>
              <w:t>5.3.1</w:t>
            </w:r>
            <w:r>
              <w:rPr>
                <w:bCs/>
                <w:color w:val="auto"/>
                <w:highlight w:val="none"/>
              </w:rPr>
              <w:t xml:space="preserve">  </w:t>
            </w:r>
            <w:r>
              <w:rPr>
                <w:rFonts w:hint="eastAsia"/>
                <w:bCs/>
                <w:color w:val="auto"/>
                <w:highlight w:val="none"/>
              </w:rPr>
              <w:t>本条文对砌体物理力学性能指标作了必要的规定：</w:t>
            </w:r>
          </w:p>
          <w:p w14:paraId="70A3E6DC">
            <w:pPr>
              <w:keepNext w:val="0"/>
              <w:keepLines w:val="0"/>
              <w:pageBreakBefore w:val="0"/>
              <w:widowControl w:val="0"/>
              <w:kinsoku/>
              <w:wordWrap/>
              <w:overflowPunct/>
              <w:topLinePunct w:val="0"/>
              <w:autoSpaceDE/>
              <w:autoSpaceDN/>
              <w:bidi w:val="0"/>
              <w:adjustRightInd/>
              <w:spacing w:line="360" w:lineRule="auto"/>
              <w:ind w:firstLine="422" w:firstLineChars="200"/>
              <w:textAlignment w:val="auto"/>
              <w:rPr>
                <w:rFonts w:ascii="Times New Roman" w:hAnsi="Times New Roman" w:eastAsia="宋体" w:cs="Times New Roman"/>
                <w:bCs/>
                <w:kern w:val="2"/>
                <w:sz w:val="21"/>
                <w:szCs w:val="21"/>
                <w:lang w:val="en-US" w:eastAsia="zh-CN" w:bidi="ar-SA"/>
              </w:rPr>
            </w:pPr>
            <w:r>
              <w:rPr>
                <w:b/>
                <w:color w:val="auto"/>
                <w:highlight w:val="none"/>
              </w:rPr>
              <w:t xml:space="preserve">2 </w:t>
            </w:r>
            <w:r>
              <w:rPr>
                <w:bCs/>
                <w:color w:val="auto"/>
                <w:highlight w:val="none"/>
              </w:rPr>
              <w:t xml:space="preserve"> 本条文的依据为《建筑结构可靠</w:t>
            </w:r>
            <w:r>
              <w:rPr>
                <w:color w:val="auto"/>
                <w:highlight w:val="none"/>
              </w:rPr>
              <w:t>度</w:t>
            </w:r>
            <w:r>
              <w:rPr>
                <w:bCs/>
                <w:color w:val="auto"/>
                <w:highlight w:val="none"/>
              </w:rPr>
              <w:t>设计统一标准》GB 50068。</w:t>
            </w:r>
          </w:p>
        </w:tc>
        <w:tc>
          <w:tcPr>
            <w:tcW w:w="4716" w:type="dxa"/>
            <w:shd w:val="clear" w:color="auto" w:fill="auto"/>
            <w:vAlign w:val="top"/>
          </w:tcPr>
          <w:p w14:paraId="31D196F6">
            <w:pPr>
              <w:keepNext w:val="0"/>
              <w:keepLines w:val="0"/>
              <w:pageBreakBefore w:val="0"/>
              <w:widowControl w:val="0"/>
              <w:kinsoku/>
              <w:wordWrap/>
              <w:overflowPunct/>
              <w:topLinePunct w:val="0"/>
              <w:autoSpaceDE/>
              <w:autoSpaceDN/>
              <w:bidi w:val="0"/>
              <w:adjustRightInd/>
              <w:spacing w:line="360" w:lineRule="auto"/>
              <w:textAlignment w:val="auto"/>
              <w:rPr>
                <w:bCs/>
                <w:color w:val="auto"/>
                <w:highlight w:val="none"/>
              </w:rPr>
            </w:pPr>
            <w:r>
              <w:rPr>
                <w:b/>
                <w:color w:val="auto"/>
                <w:highlight w:val="none"/>
              </w:rPr>
              <w:t>5.3.1</w:t>
            </w:r>
            <w:r>
              <w:rPr>
                <w:bCs/>
                <w:color w:val="auto"/>
                <w:highlight w:val="none"/>
              </w:rPr>
              <w:t xml:space="preserve">  </w:t>
            </w:r>
            <w:r>
              <w:rPr>
                <w:rFonts w:hint="eastAsia"/>
                <w:bCs/>
                <w:color w:val="auto"/>
                <w:highlight w:val="none"/>
              </w:rPr>
              <w:t>本条文对砌体物理力学性能指标作了必要的规定：</w:t>
            </w:r>
          </w:p>
          <w:p w14:paraId="31DC923B">
            <w:pPr>
              <w:keepNext w:val="0"/>
              <w:keepLines w:val="0"/>
              <w:pageBreakBefore w:val="0"/>
              <w:widowControl w:val="0"/>
              <w:kinsoku/>
              <w:wordWrap/>
              <w:overflowPunct/>
              <w:topLinePunct w:val="0"/>
              <w:autoSpaceDE/>
              <w:autoSpaceDN/>
              <w:bidi w:val="0"/>
              <w:adjustRightInd/>
              <w:spacing w:line="360" w:lineRule="auto"/>
              <w:ind w:firstLine="422" w:firstLineChars="200"/>
              <w:textAlignment w:val="auto"/>
              <w:rPr>
                <w:rFonts w:ascii="Times New Roman" w:hAnsi="Times New Roman" w:eastAsia="宋体" w:cs="Times New Roman"/>
                <w:bCs/>
                <w:kern w:val="2"/>
                <w:sz w:val="21"/>
                <w:szCs w:val="21"/>
                <w:lang w:val="en-US" w:eastAsia="zh-CN" w:bidi="ar-SA"/>
              </w:rPr>
            </w:pPr>
            <w:r>
              <w:rPr>
                <w:b/>
                <w:color w:val="auto"/>
                <w:highlight w:val="none"/>
              </w:rPr>
              <w:t xml:space="preserve">2 </w:t>
            </w:r>
            <w:r>
              <w:rPr>
                <w:bCs/>
                <w:color w:val="auto"/>
                <w:highlight w:val="none"/>
              </w:rPr>
              <w:t xml:space="preserve"> 本条文的依据为《建筑结构可靠</w:t>
            </w:r>
            <w:r>
              <w:rPr>
                <w:color w:val="auto"/>
                <w:highlight w:val="none"/>
                <w:bdr w:val="single" w:sz="0" w:space="0"/>
              </w:rPr>
              <w:t>度</w:t>
            </w:r>
            <w:r>
              <w:rPr>
                <w:rFonts w:hint="eastAsia"/>
                <w:color w:val="auto"/>
                <w:highlight w:val="none"/>
                <w:u w:val="single"/>
                <w:lang w:val="en-US" w:eastAsia="zh-CN"/>
              </w:rPr>
              <w:t>性</w:t>
            </w:r>
            <w:r>
              <w:rPr>
                <w:bCs/>
                <w:color w:val="auto"/>
                <w:highlight w:val="none"/>
              </w:rPr>
              <w:t>设计统一标准》GB 50068。</w:t>
            </w:r>
          </w:p>
        </w:tc>
      </w:tr>
      <w:tr w14:paraId="42A3BE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686" w:type="dxa"/>
            <w:shd w:val="clear" w:color="auto" w:fill="auto"/>
            <w:vAlign w:val="top"/>
          </w:tcPr>
          <w:p w14:paraId="6C40BADF">
            <w:pPr>
              <w:keepNext w:val="0"/>
              <w:keepLines w:val="0"/>
              <w:pageBreakBefore w:val="0"/>
              <w:widowControl w:val="0"/>
              <w:kinsoku/>
              <w:wordWrap/>
              <w:overflowPunct/>
              <w:topLinePunct w:val="0"/>
              <w:autoSpaceDE/>
              <w:autoSpaceDN/>
              <w:bidi w:val="0"/>
              <w:adjustRightInd/>
              <w:spacing w:line="360" w:lineRule="auto"/>
              <w:textAlignment w:val="auto"/>
              <w:rPr>
                <w:rFonts w:ascii="Times New Roman" w:hAnsi="Times New Roman" w:eastAsia="宋体" w:cs="Times New Roman"/>
                <w:bCs/>
                <w:kern w:val="2"/>
                <w:sz w:val="21"/>
                <w:szCs w:val="21"/>
                <w:lang w:val="en-US" w:eastAsia="zh-CN" w:bidi="ar-SA"/>
              </w:rPr>
            </w:pPr>
            <w:r>
              <w:rPr>
                <w:rFonts w:hint="eastAsia"/>
                <w:b/>
                <w:bCs/>
                <w:color w:val="auto"/>
                <w:highlight w:val="none"/>
              </w:rPr>
              <w:t xml:space="preserve">9.1.1  </w:t>
            </w:r>
            <w:r>
              <w:rPr>
                <w:rFonts w:hint="eastAsia"/>
                <w:color w:val="auto"/>
                <w:highlight w:val="none"/>
              </w:rPr>
              <w:t>当前一些墙体及与其配套的部件（如某些板材或模塑聚苯板、挤塑聚苯板、聚氨酯泡沫、尼龙胀钉等）的</w:t>
            </w:r>
            <w:r>
              <w:rPr>
                <w:color w:val="auto"/>
                <w:highlight w:val="none"/>
              </w:rPr>
              <w:t>使用寿命</w:t>
            </w:r>
            <w:r>
              <w:rPr>
                <w:rFonts w:hint="eastAsia"/>
                <w:color w:val="auto"/>
                <w:highlight w:val="none"/>
              </w:rPr>
              <w:t>少于国家标准规定的设计使用年限，为保证建筑物在设计使用年限内的质量及效果，特制定本条款。</w:t>
            </w:r>
          </w:p>
        </w:tc>
        <w:tc>
          <w:tcPr>
            <w:tcW w:w="4716" w:type="dxa"/>
            <w:shd w:val="clear" w:color="auto" w:fill="auto"/>
            <w:vAlign w:val="top"/>
          </w:tcPr>
          <w:p w14:paraId="343DEBB2">
            <w:pPr>
              <w:keepNext w:val="0"/>
              <w:keepLines w:val="0"/>
              <w:pageBreakBefore w:val="0"/>
              <w:widowControl w:val="0"/>
              <w:kinsoku/>
              <w:wordWrap/>
              <w:overflowPunct/>
              <w:topLinePunct w:val="0"/>
              <w:autoSpaceDE/>
              <w:autoSpaceDN/>
              <w:bidi w:val="0"/>
              <w:adjustRightInd/>
              <w:spacing w:line="360" w:lineRule="auto"/>
              <w:textAlignment w:val="auto"/>
              <w:rPr>
                <w:rFonts w:ascii="Times New Roman" w:hAnsi="Times New Roman" w:eastAsia="宋体" w:cs="Times New Roman"/>
                <w:bCs/>
                <w:kern w:val="2"/>
                <w:sz w:val="21"/>
                <w:szCs w:val="21"/>
                <w:lang w:val="en-US" w:eastAsia="zh-CN" w:bidi="ar-SA"/>
              </w:rPr>
            </w:pPr>
            <w:r>
              <w:rPr>
                <w:rFonts w:hint="eastAsia"/>
                <w:b/>
                <w:bCs/>
                <w:color w:val="auto"/>
                <w:highlight w:val="none"/>
              </w:rPr>
              <w:t xml:space="preserve">9.1.1  </w:t>
            </w:r>
            <w:r>
              <w:rPr>
                <w:rFonts w:hint="eastAsia"/>
                <w:color w:val="auto"/>
                <w:highlight w:val="none"/>
              </w:rPr>
              <w:t>当前一些墙体及与其配套的部件（如某些板材或模塑聚苯板、挤塑聚苯板、聚氨酯泡沫、尼龙胀钉等）的</w:t>
            </w:r>
            <w:r>
              <w:rPr>
                <w:color w:val="auto"/>
                <w:highlight w:val="none"/>
                <w:bdr w:val="single" w:sz="0" w:space="0"/>
              </w:rPr>
              <w:t>使用寿命</w:t>
            </w:r>
            <w:r>
              <w:rPr>
                <w:rFonts w:hint="eastAsia"/>
                <w:color w:val="auto"/>
                <w:highlight w:val="none"/>
                <w:u w:val="single"/>
                <w:lang w:val="en-US" w:eastAsia="zh-CN"/>
              </w:rPr>
              <w:t>工作年限</w:t>
            </w:r>
            <w:r>
              <w:rPr>
                <w:rFonts w:hint="eastAsia"/>
                <w:color w:val="auto"/>
                <w:highlight w:val="none"/>
              </w:rPr>
              <w:t>少于国家标准规定的设计</w:t>
            </w:r>
            <w:r>
              <w:rPr>
                <w:rFonts w:hint="eastAsia"/>
                <w:color w:val="auto"/>
                <w:highlight w:val="none"/>
                <w:bdr w:val="single" w:sz="0" w:space="0"/>
              </w:rPr>
              <w:t>使用</w:t>
            </w:r>
            <w:r>
              <w:rPr>
                <w:rFonts w:hint="eastAsia"/>
                <w:color w:val="auto"/>
                <w:highlight w:val="none"/>
                <w:u w:val="single"/>
                <w:lang w:val="en-US" w:eastAsia="zh-CN"/>
              </w:rPr>
              <w:t>工作</w:t>
            </w:r>
            <w:r>
              <w:rPr>
                <w:rFonts w:hint="eastAsia"/>
                <w:color w:val="auto"/>
                <w:highlight w:val="none"/>
              </w:rPr>
              <w:t>年限，为保证建筑物在设计</w:t>
            </w:r>
            <w:r>
              <w:rPr>
                <w:rFonts w:hint="eastAsia"/>
                <w:color w:val="auto"/>
                <w:highlight w:val="none"/>
                <w:bdr w:val="single" w:sz="0" w:space="0"/>
              </w:rPr>
              <w:t>使用</w:t>
            </w:r>
            <w:r>
              <w:rPr>
                <w:rFonts w:hint="eastAsia"/>
                <w:color w:val="auto"/>
                <w:highlight w:val="none"/>
                <w:u w:val="single"/>
                <w:lang w:val="en-US" w:eastAsia="zh-CN"/>
              </w:rPr>
              <w:t>工作</w:t>
            </w:r>
            <w:r>
              <w:rPr>
                <w:rFonts w:hint="eastAsia"/>
                <w:color w:val="auto"/>
                <w:highlight w:val="none"/>
              </w:rPr>
              <w:t>年限内的质量及效果，特制定本条款。</w:t>
            </w:r>
          </w:p>
        </w:tc>
      </w:tr>
    </w:tbl>
    <w:p w14:paraId="7A3D7AE2"/>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698B21">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300846E4">
                          <w:pPr>
                            <w:pStyle w:val="4"/>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fyKa93AIAACQGAAAOAAAAAAAAAAEAIAAAAB8BAABkcnMvZTJvRG9jLnhtbFBLBQYA&#10;AAAABgAGAFkBAABtBgAAAAA=&#10;">
              <v:fill on="f" focussize="0,0"/>
              <v:stroke on="f" weight="0.5pt"/>
              <v:imagedata o:title=""/>
              <o:lock v:ext="edit" aspectratio="f"/>
              <v:textbox inset="0mm,0mm,0mm,0mm" style="mso-fit-shape-to-text:t;">
                <w:txbxContent>
                  <w:p w14:paraId="300846E4">
                    <w:pPr>
                      <w:pStyle w:val="4"/>
                    </w:pPr>
                    <w:r>
                      <w:fldChar w:fldCharType="begin"/>
                    </w:r>
                    <w:r>
                      <w:instrText xml:space="preserve"> PAGE  \* MERGEFORMAT </w:instrText>
                    </w:r>
                    <w:r>
                      <w:fldChar w:fldCharType="separate"/>
                    </w:r>
                    <w:r>
                      <w:t>2</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77344F"/>
    <w:rsid w:val="00EE0F95"/>
    <w:rsid w:val="017309D2"/>
    <w:rsid w:val="01982689"/>
    <w:rsid w:val="02A64859"/>
    <w:rsid w:val="053C31DA"/>
    <w:rsid w:val="08005516"/>
    <w:rsid w:val="0B380146"/>
    <w:rsid w:val="0DBE28CC"/>
    <w:rsid w:val="0DF0776B"/>
    <w:rsid w:val="0F22536C"/>
    <w:rsid w:val="0F372BB2"/>
    <w:rsid w:val="0FFE4929"/>
    <w:rsid w:val="104E2695"/>
    <w:rsid w:val="11535CDA"/>
    <w:rsid w:val="12551E0F"/>
    <w:rsid w:val="13F40468"/>
    <w:rsid w:val="16C1401E"/>
    <w:rsid w:val="17B55426"/>
    <w:rsid w:val="18414366"/>
    <w:rsid w:val="1A9B7C43"/>
    <w:rsid w:val="1BD73C5B"/>
    <w:rsid w:val="1BE45899"/>
    <w:rsid w:val="1BF71C3C"/>
    <w:rsid w:val="1C224F89"/>
    <w:rsid w:val="1C573D77"/>
    <w:rsid w:val="1E041AD4"/>
    <w:rsid w:val="1F2A6865"/>
    <w:rsid w:val="208319DF"/>
    <w:rsid w:val="20B20ECA"/>
    <w:rsid w:val="20FA7070"/>
    <w:rsid w:val="216D3965"/>
    <w:rsid w:val="24A54A82"/>
    <w:rsid w:val="267C30B4"/>
    <w:rsid w:val="28732DD2"/>
    <w:rsid w:val="29BA5EFC"/>
    <w:rsid w:val="2A2D1392"/>
    <w:rsid w:val="2B634FBD"/>
    <w:rsid w:val="2BB272E2"/>
    <w:rsid w:val="2C355A34"/>
    <w:rsid w:val="2CB74F17"/>
    <w:rsid w:val="2D4E3864"/>
    <w:rsid w:val="2ECA37FB"/>
    <w:rsid w:val="2EEE0998"/>
    <w:rsid w:val="2F917A54"/>
    <w:rsid w:val="3121011D"/>
    <w:rsid w:val="321F1CBA"/>
    <w:rsid w:val="34CE763F"/>
    <w:rsid w:val="34E34F4D"/>
    <w:rsid w:val="370D0A17"/>
    <w:rsid w:val="3A294BBC"/>
    <w:rsid w:val="3A9D78E9"/>
    <w:rsid w:val="3AD1189A"/>
    <w:rsid w:val="3BED0E4A"/>
    <w:rsid w:val="3BF45693"/>
    <w:rsid w:val="3D6B1F10"/>
    <w:rsid w:val="3D70539A"/>
    <w:rsid w:val="3ECB6600"/>
    <w:rsid w:val="3FDE4567"/>
    <w:rsid w:val="40A11D0E"/>
    <w:rsid w:val="41B45D47"/>
    <w:rsid w:val="41F50E17"/>
    <w:rsid w:val="42DE7847"/>
    <w:rsid w:val="44641AC8"/>
    <w:rsid w:val="45FB3C22"/>
    <w:rsid w:val="46992A6B"/>
    <w:rsid w:val="476105A6"/>
    <w:rsid w:val="477D5F84"/>
    <w:rsid w:val="4B9D07D7"/>
    <w:rsid w:val="4BDA73CC"/>
    <w:rsid w:val="4C5639EF"/>
    <w:rsid w:val="503A0B40"/>
    <w:rsid w:val="51734174"/>
    <w:rsid w:val="53CD0B8B"/>
    <w:rsid w:val="553B5E36"/>
    <w:rsid w:val="565B05FD"/>
    <w:rsid w:val="57E67909"/>
    <w:rsid w:val="57FA30BC"/>
    <w:rsid w:val="58B7020F"/>
    <w:rsid w:val="597D57CF"/>
    <w:rsid w:val="5A0108D2"/>
    <w:rsid w:val="5BA52E75"/>
    <w:rsid w:val="5C3F2772"/>
    <w:rsid w:val="5C501309"/>
    <w:rsid w:val="5C840DF7"/>
    <w:rsid w:val="5E192D6C"/>
    <w:rsid w:val="5E1F4455"/>
    <w:rsid w:val="5E5847E2"/>
    <w:rsid w:val="5F77344F"/>
    <w:rsid w:val="5FC97EA9"/>
    <w:rsid w:val="60B90F59"/>
    <w:rsid w:val="610427F0"/>
    <w:rsid w:val="62DA71BA"/>
    <w:rsid w:val="63FB0CA2"/>
    <w:rsid w:val="64E13556"/>
    <w:rsid w:val="677A0613"/>
    <w:rsid w:val="6841155D"/>
    <w:rsid w:val="6A366774"/>
    <w:rsid w:val="6BA23B81"/>
    <w:rsid w:val="6C8026C1"/>
    <w:rsid w:val="6E657E07"/>
    <w:rsid w:val="6F23547E"/>
    <w:rsid w:val="6F4006A7"/>
    <w:rsid w:val="6F675983"/>
    <w:rsid w:val="6FF26435"/>
    <w:rsid w:val="70151AF2"/>
    <w:rsid w:val="706F088F"/>
    <w:rsid w:val="7119660B"/>
    <w:rsid w:val="712B6B9F"/>
    <w:rsid w:val="72CA3092"/>
    <w:rsid w:val="72CE1AB2"/>
    <w:rsid w:val="733400C5"/>
    <w:rsid w:val="737619F0"/>
    <w:rsid w:val="73796CBD"/>
    <w:rsid w:val="73FA46E7"/>
    <w:rsid w:val="74DD7649"/>
    <w:rsid w:val="75A5650E"/>
    <w:rsid w:val="78517DC7"/>
    <w:rsid w:val="79A8363C"/>
    <w:rsid w:val="7B687C82"/>
    <w:rsid w:val="7C012911"/>
    <w:rsid w:val="7C721D47"/>
    <w:rsid w:val="7E7223E0"/>
    <w:rsid w:val="7EA305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2"/>
    <w:basedOn w:val="1"/>
    <w:next w:val="1"/>
    <w:unhideWhenUsed/>
    <w:qFormat/>
    <w:uiPriority w:val="0"/>
    <w:pPr>
      <w:keepNext/>
      <w:keepLines/>
      <w:spacing w:before="260" w:beforeLines="0" w:beforeAutospacing="0" w:after="260" w:afterLines="0" w:afterAutospacing="0" w:line="360" w:lineRule="auto"/>
      <w:jc w:val="center"/>
      <w:outlineLvl w:val="1"/>
    </w:pPr>
    <w:rPr>
      <w:rFonts w:ascii="Arial" w:hAnsi="Arial" w:eastAsia="黑体"/>
      <w:b/>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footer"/>
    <w:basedOn w:val="1"/>
    <w:unhideWhenUsed/>
    <w:qFormat/>
    <w:uiPriority w:val="99"/>
    <w:pPr>
      <w:tabs>
        <w:tab w:val="center" w:pos="4153"/>
        <w:tab w:val="right" w:pos="8306"/>
      </w:tabs>
      <w:snapToGrid w:val="0"/>
      <w:jc w:val="left"/>
    </w:pPr>
    <w:rPr>
      <w:kern w:val="0"/>
      <w:sz w:val="18"/>
      <w:szCs w:val="18"/>
      <w:lang w:val="zh-CN" w:eastAsia="zh-CN"/>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99"/>
    <w:pPr>
      <w:widowControl/>
      <w:spacing w:before="100" w:beforeAutospacing="1" w:after="100" w:afterAutospacing="1"/>
      <w:jc w:val="left"/>
    </w:pPr>
    <w:rPr>
      <w:rFonts w:ascii="宋体" w:hAnsi="宋体"/>
      <w:kern w:val="0"/>
      <w:sz w:val="24"/>
      <w:szCs w:val="24"/>
    </w:rPr>
  </w:style>
  <w:style w:type="paragraph" w:customStyle="1" w:styleId="9">
    <w:name w:val="目录 11"/>
    <w:basedOn w:val="1"/>
    <w:next w:val="1"/>
    <w:unhideWhenUsed/>
    <w:qFormat/>
    <w:uiPriority w:val="39"/>
    <w:pPr>
      <w:tabs>
        <w:tab w:val="left" w:pos="426"/>
        <w:tab w:val="right" w:leader="dot" w:pos="9344"/>
      </w:tabs>
      <w:spacing w:line="360" w:lineRule="auto"/>
    </w:pPr>
    <w:rPr>
      <w:rFonts w:ascii="Times New Roman" w:hAnsi="Times New Roman"/>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6405</Words>
  <Characters>7640</Characters>
  <Lines>0</Lines>
  <Paragraphs>0</Paragraphs>
  <TotalTime>0</TotalTime>
  <ScaleCrop>false</ScaleCrop>
  <LinksUpToDate>false</LinksUpToDate>
  <CharactersWithSpaces>8189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2025-12-29T07:52:00Z</dcterms:created>
  <dc:creator>元</dc:creator>
  <cp:lastModifiedBy>陈文昕</cp:lastModifiedBy>
  <cp:lastPrinted>2026-06-30T01:52:16Z</cp:lastPrinted>
  <dcterms:modified xsi:type="dcterms:W3CDTF">2026-06-30T01:53:54Z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D4AA4D2F0254427F92C8A86D65CAA2AB_13</vt:lpwstr>
  </property>
  <property fmtid="{D5CDD505-2E9C-101B-9397-08002B2CF9AE}" pid="4" name="KSOTemplateDocerSaveRecord">
    <vt:lpwstr>eyJoZGlkIjoiNWVhYWI4NTJmMDcwNmRmZjhjM2I0ZGJhYTNkYjUzMWEiLCJ1c2VySWQiOiIzMjY1MjczMzIifQ==</vt:lpwstr>
  </property>
</Properties>
</file>