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auto"/>
          <w:sz w:val="32"/>
          <w:szCs w:val="32"/>
        </w:rPr>
      </w:pPr>
      <w:bookmarkStart w:id="0" w:name="_GoBack"/>
      <w:r>
        <w:rPr>
          <w:rFonts w:hint="eastAsia" w:ascii="方正小标宋_GBK" w:hAnsi="方正小标宋_GBK" w:eastAsia="方正小标宋_GBK" w:cs="方正小标宋_GBK"/>
          <w:color w:val="auto"/>
          <w:sz w:val="32"/>
          <w:szCs w:val="32"/>
        </w:rPr>
        <w:t>2023年河北省防火涂料产品质量监督抽查实施细则</w:t>
      </w:r>
    </w:p>
    <w:bookmarkEnd w:id="0"/>
    <w:p>
      <w:pPr>
        <w:adjustRightInd w:val="0"/>
        <w:snapToGrid w:val="0"/>
        <w:spacing w:before="312" w:beforeLines="100" w:after="312" w:afterLines="100" w:line="440" w:lineRule="exact"/>
        <w:rPr>
          <w:rFonts w:hint="eastAsia" w:ascii="黑体" w:hAnsi="黑体" w:eastAsia="黑体" w:cs="黑体"/>
          <w:color w:val="auto"/>
          <w:szCs w:val="21"/>
        </w:rPr>
      </w:pPr>
      <w:r>
        <w:rPr>
          <w:rFonts w:hint="eastAsia" w:ascii="黑体" w:hAnsi="黑体" w:eastAsia="黑体" w:cs="黑体"/>
          <w:color w:val="auto"/>
          <w:szCs w:val="21"/>
        </w:rPr>
        <w:t>1抽样方法</w:t>
      </w:r>
    </w:p>
    <w:p>
      <w:pPr>
        <w:adjustRightInd w:val="0"/>
        <w:snapToGrid w:val="0"/>
        <w:spacing w:line="440" w:lineRule="exact"/>
        <w:ind w:firstLine="420" w:firstLineChars="200"/>
        <w:rPr>
          <w:color w:val="auto"/>
          <w:szCs w:val="21"/>
        </w:rPr>
      </w:pPr>
      <w:r>
        <w:rPr>
          <w:rFonts w:hint="eastAsia"/>
          <w:color w:val="auto"/>
          <w:szCs w:val="21"/>
        </w:rPr>
        <w:t>以随机抽样的方式抽取检验样品和备用样品</w:t>
      </w:r>
      <w:r>
        <w:rPr>
          <w:rFonts w:hint="eastAsia" w:ascii="宋体" w:hAnsi="宋体" w:cs="宋体"/>
          <w:color w:val="auto"/>
          <w:szCs w:val="21"/>
        </w:rPr>
        <w:t>。</w:t>
      </w:r>
    </w:p>
    <w:p>
      <w:pPr>
        <w:adjustRightInd w:val="0"/>
        <w:snapToGrid w:val="0"/>
        <w:spacing w:line="440" w:lineRule="exact"/>
        <w:ind w:firstLine="420" w:firstLineChars="200"/>
        <w:rPr>
          <w:rFonts w:ascii="Times New Roman" w:hAnsi="Times New Roman"/>
          <w:color w:val="auto"/>
          <w:szCs w:val="21"/>
        </w:rPr>
      </w:pPr>
      <w:r>
        <w:rPr>
          <w:rFonts w:hint="eastAsia" w:ascii="Times New Roman" w:hAnsi="Times New Roman"/>
          <w:color w:val="auto"/>
          <w:szCs w:val="21"/>
        </w:rPr>
        <w:t>每批次产品抽取样品数量见表1：</w:t>
      </w:r>
    </w:p>
    <w:p>
      <w:pPr>
        <w:jc w:val="center"/>
        <w:rPr>
          <w:rFonts w:ascii="Times New Roman" w:hAnsi="Times New Roman"/>
          <w:color w:val="auto"/>
          <w:szCs w:val="21"/>
        </w:rPr>
      </w:pPr>
      <w:r>
        <w:rPr>
          <w:rFonts w:hint="eastAsia" w:ascii="宋体" w:hAnsi="宋体" w:cs="仿宋"/>
          <w:color w:val="auto"/>
          <w:szCs w:val="21"/>
          <w:lang w:val="en-GB"/>
        </w:rPr>
        <w:t>表</w:t>
      </w:r>
      <w:r>
        <w:rPr>
          <w:rFonts w:hint="eastAsia" w:ascii="宋体" w:hAnsi="宋体" w:cs="仿宋"/>
          <w:color w:val="auto"/>
          <w:szCs w:val="21"/>
        </w:rPr>
        <w:t xml:space="preserve">1  </w:t>
      </w:r>
      <w:r>
        <w:rPr>
          <w:rFonts w:hint="eastAsia" w:ascii="Times New Roman" w:hAnsi="Times New Roman"/>
          <w:color w:val="auto"/>
          <w:szCs w:val="21"/>
        </w:rPr>
        <w:t>抽取样品数量</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2235"/>
        <w:gridCol w:w="2112"/>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6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序号</w:t>
            </w:r>
          </w:p>
        </w:tc>
        <w:tc>
          <w:tcPr>
            <w:tcW w:w="2235"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明示标准</w:t>
            </w:r>
          </w:p>
        </w:tc>
        <w:tc>
          <w:tcPr>
            <w:tcW w:w="211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产品名称</w:t>
            </w:r>
          </w:p>
        </w:tc>
        <w:tc>
          <w:tcPr>
            <w:tcW w:w="3208"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6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2235"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211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钢结构防火涂料*</w:t>
            </w:r>
          </w:p>
        </w:tc>
        <w:tc>
          <w:tcPr>
            <w:tcW w:w="3208"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膨胀型：200kg</w:t>
            </w:r>
          </w:p>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（检备样各100kg）</w:t>
            </w:r>
          </w:p>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非膨胀型：300kg</w:t>
            </w:r>
          </w:p>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（检备样各150kg）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6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p>
        </w:tc>
        <w:tc>
          <w:tcPr>
            <w:tcW w:w="2235"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w:t>
            </w:r>
          </w:p>
        </w:tc>
        <w:tc>
          <w:tcPr>
            <w:tcW w:w="211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饰面型防火涂料</w:t>
            </w:r>
          </w:p>
        </w:tc>
        <w:tc>
          <w:tcPr>
            <w:tcW w:w="3208"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20kg</w:t>
            </w:r>
          </w:p>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（检备样各10kg）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6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p>
        </w:tc>
        <w:tc>
          <w:tcPr>
            <w:tcW w:w="2235"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28375-2012</w:t>
            </w:r>
          </w:p>
        </w:tc>
        <w:tc>
          <w:tcPr>
            <w:tcW w:w="2112"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混凝土结构防火涂料</w:t>
            </w:r>
          </w:p>
        </w:tc>
        <w:tc>
          <w:tcPr>
            <w:tcW w:w="3208" w:type="dxa"/>
            <w:vAlign w:val="center"/>
          </w:tcPr>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300kg</w:t>
            </w:r>
          </w:p>
          <w:p>
            <w:pPr>
              <w:adjustRightInd w:val="0"/>
              <w:snapToGrid w:val="0"/>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（检备样各150kg）</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auto"/>
          <w:szCs w:val="21"/>
        </w:rPr>
      </w:pPr>
      <w:r>
        <w:rPr>
          <w:rFonts w:hint="eastAsia"/>
          <w:color w:val="auto"/>
          <w:szCs w:val="21"/>
        </w:rPr>
        <w:t>* 抽样领域为流通领域时，若店铺内样品不足以抽检时，可依据样品数量调整检验项目，最少抽样数量为膨胀型抽取样品数量为40kg（检备样各20kg），非膨胀型抽取样品数量为50kg（检备样各25kg）。</w:t>
      </w:r>
    </w:p>
    <w:p>
      <w:pPr>
        <w:adjustRightInd w:val="0"/>
        <w:snapToGrid w:val="0"/>
        <w:spacing w:before="312" w:beforeLines="100" w:after="312" w:afterLines="100" w:line="440" w:lineRule="exact"/>
        <w:rPr>
          <w:rFonts w:hint="eastAsia" w:ascii="黑体" w:hAnsi="黑体" w:eastAsia="黑体" w:cs="黑体"/>
          <w:color w:val="auto"/>
          <w:szCs w:val="21"/>
        </w:rPr>
      </w:pPr>
      <w:r>
        <w:rPr>
          <w:rFonts w:hint="eastAsia" w:ascii="黑体" w:hAnsi="黑体" w:eastAsia="黑体" w:cs="黑体"/>
          <w:color w:val="auto"/>
          <w:szCs w:val="21"/>
        </w:rPr>
        <w:t>2抽查产品名称及执行标准</w:t>
      </w:r>
    </w:p>
    <w:p>
      <w:pPr>
        <w:adjustRightInd w:val="0"/>
        <w:snapToGrid w:val="0"/>
        <w:spacing w:line="440" w:lineRule="exact"/>
        <w:ind w:firstLine="420" w:firstLineChars="200"/>
        <w:rPr>
          <w:color w:val="auto"/>
          <w:szCs w:val="21"/>
        </w:rPr>
      </w:pPr>
      <w:r>
        <w:rPr>
          <w:rFonts w:hint="eastAsia"/>
          <w:color w:val="auto"/>
          <w:szCs w:val="21"/>
        </w:rPr>
        <w:t>本次抽查的产品名称主要为：防火涂料，产品执行标准见表2：</w:t>
      </w:r>
    </w:p>
    <w:p>
      <w:pPr>
        <w:adjustRightInd w:val="0"/>
        <w:snapToGrid w:val="0"/>
        <w:spacing w:line="440" w:lineRule="exact"/>
        <w:ind w:firstLine="420" w:firstLineChars="200"/>
        <w:jc w:val="center"/>
        <w:rPr>
          <w:color w:val="auto"/>
          <w:szCs w:val="21"/>
        </w:rPr>
      </w:pPr>
      <w:r>
        <w:rPr>
          <w:rFonts w:hint="eastAsia"/>
          <w:color w:val="auto"/>
          <w:szCs w:val="21"/>
        </w:rPr>
        <w:t>表2  产品名称及执行标准</w:t>
      </w:r>
    </w:p>
    <w:tbl>
      <w:tblPr>
        <w:tblStyle w:val="18"/>
        <w:tblW w:w="8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339"/>
        <w:gridCol w:w="2191"/>
        <w:gridCol w:w="2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7" w:type="dxa"/>
            <w:shd w:val="clear" w:color="auto" w:fill="auto"/>
            <w:vAlign w:val="center"/>
          </w:tcPr>
          <w:p>
            <w:pPr>
              <w:adjustRightInd w:val="0"/>
              <w:snapToGrid w:val="0"/>
              <w:spacing w:line="440" w:lineRule="exact"/>
              <w:jc w:val="center"/>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eastAsia="zh-CN"/>
              </w:rPr>
              <w:t>序号</w:t>
            </w:r>
          </w:p>
        </w:tc>
        <w:tc>
          <w:tcPr>
            <w:tcW w:w="2339" w:type="dxa"/>
            <w:shd w:val="clear" w:color="auto" w:fill="auto"/>
            <w:vAlign w:val="center"/>
          </w:tcPr>
          <w:p>
            <w:pPr>
              <w:adjustRightInd w:val="0"/>
              <w:snapToGrid w:val="0"/>
              <w:spacing w:line="44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产品名称</w:t>
            </w:r>
          </w:p>
        </w:tc>
        <w:tc>
          <w:tcPr>
            <w:tcW w:w="2191" w:type="dxa"/>
            <w:shd w:val="clear" w:color="auto" w:fill="auto"/>
            <w:vAlign w:val="center"/>
          </w:tcPr>
          <w:p>
            <w:pPr>
              <w:adjustRightInd w:val="0"/>
              <w:snapToGrid w:val="0"/>
              <w:spacing w:line="44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标准编号</w:t>
            </w:r>
          </w:p>
        </w:tc>
        <w:tc>
          <w:tcPr>
            <w:tcW w:w="2740" w:type="dxa"/>
            <w:shd w:val="clear" w:color="auto" w:fill="auto"/>
            <w:vAlign w:val="center"/>
          </w:tcPr>
          <w:p>
            <w:pPr>
              <w:adjustRightInd w:val="0"/>
              <w:snapToGrid w:val="0"/>
              <w:spacing w:line="44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137"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1</w:t>
            </w:r>
          </w:p>
        </w:tc>
        <w:tc>
          <w:tcPr>
            <w:tcW w:w="2339"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钢结构防火涂料</w:t>
            </w:r>
          </w:p>
        </w:tc>
        <w:tc>
          <w:tcPr>
            <w:tcW w:w="2191"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2740"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钢结构防火涂料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137"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2</w:t>
            </w:r>
          </w:p>
        </w:tc>
        <w:tc>
          <w:tcPr>
            <w:tcW w:w="2339"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饰面型防火涂料</w:t>
            </w:r>
          </w:p>
        </w:tc>
        <w:tc>
          <w:tcPr>
            <w:tcW w:w="2191"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w:t>
            </w:r>
          </w:p>
        </w:tc>
        <w:tc>
          <w:tcPr>
            <w:tcW w:w="2740"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饰面型防火涂料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137"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3</w:t>
            </w:r>
          </w:p>
        </w:tc>
        <w:tc>
          <w:tcPr>
            <w:tcW w:w="2339"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混凝土结构防火涂料</w:t>
            </w:r>
          </w:p>
        </w:tc>
        <w:tc>
          <w:tcPr>
            <w:tcW w:w="2191"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28375-2012</w:t>
            </w:r>
          </w:p>
        </w:tc>
        <w:tc>
          <w:tcPr>
            <w:tcW w:w="2740" w:type="dxa"/>
            <w:shd w:val="clear" w:color="auto" w:fill="auto"/>
            <w:vAlign w:val="center"/>
          </w:tcPr>
          <w:p>
            <w:pPr>
              <w:adjustRightInd w:val="0"/>
              <w:snapToGrid w:val="0"/>
              <w:spacing w:line="300" w:lineRule="exact"/>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混凝土结构防火涂料</w:t>
            </w:r>
          </w:p>
        </w:tc>
      </w:tr>
    </w:tbl>
    <w:p>
      <w:pPr>
        <w:adjustRightInd w:val="0"/>
        <w:snapToGrid w:val="0"/>
        <w:spacing w:before="312" w:beforeLines="100" w:after="312" w:afterLines="100" w:line="440" w:lineRule="exact"/>
        <w:rPr>
          <w:rFonts w:hint="eastAsia" w:ascii="黑体" w:hAnsi="黑体" w:eastAsia="黑体" w:cs="黑体"/>
          <w:color w:val="auto"/>
          <w:szCs w:val="21"/>
        </w:rPr>
      </w:pPr>
      <w:r>
        <w:rPr>
          <w:rFonts w:hint="eastAsia" w:ascii="黑体" w:hAnsi="黑体" w:eastAsia="黑体" w:cs="黑体"/>
          <w:color w:val="auto"/>
          <w:szCs w:val="21"/>
        </w:rPr>
        <w:t>3检验依据</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40" w:lineRule="exact"/>
        <w:ind w:firstLine="0" w:firstLineChars="0"/>
        <w:jc w:val="center"/>
        <w:textAlignment w:val="auto"/>
        <w:rPr>
          <w:rFonts w:hint="eastAsia" w:eastAsia="宋体"/>
          <w:color w:val="auto"/>
          <w:szCs w:val="21"/>
        </w:rPr>
      </w:pPr>
      <w:r>
        <w:rPr>
          <w:rFonts w:hint="eastAsia" w:eastAsia="宋体"/>
          <w:color w:val="auto"/>
          <w:szCs w:val="21"/>
        </w:rPr>
        <w:t>表3执行GB 14907-2018《钢结构防火涂料》标准的检验项目及依据</w:t>
      </w:r>
    </w:p>
    <w:tbl>
      <w:tblPr>
        <w:tblStyle w:val="18"/>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872"/>
        <w:gridCol w:w="1731"/>
        <w:gridCol w:w="2354"/>
        <w:gridCol w:w="1067"/>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9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分类</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序号</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检验项目</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检验方法</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重要程度分级</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是否为环保指标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39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安全性能</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耐火性能</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9978.1-2008</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GB/T 9978.6</w:t>
            </w:r>
            <w:r>
              <w:rPr>
                <w:rFonts w:hint="eastAsia" w:asciiTheme="minorEastAsia" w:hAnsiTheme="minorEastAsia" w:eastAsiaTheme="minorEastAsia" w:cstheme="minorEastAsia"/>
                <w:color w:val="auto"/>
                <w:szCs w:val="21"/>
                <w:lang w:val="en-US" w:eastAsia="zh-CN"/>
              </w:rPr>
              <w:t>-2008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4"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主要性能</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粘结强度</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4"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耐水性</w:t>
            </w:r>
            <w:r>
              <w:rPr>
                <w:rFonts w:hint="eastAsia" w:asciiTheme="minorEastAsia" w:hAnsiTheme="minorEastAsia" w:eastAsiaTheme="minorEastAsia" w:cstheme="minorEastAsia"/>
                <w:color w:val="auto"/>
                <w:szCs w:val="21"/>
                <w:vertAlign w:val="superscript"/>
                <w:lang w:val="en-US" w:eastAsia="zh-CN"/>
              </w:rPr>
              <w:t>*</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394"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耐冻融循环性</w:t>
            </w:r>
            <w:r>
              <w:rPr>
                <w:rFonts w:hint="eastAsia" w:asciiTheme="minorEastAsia" w:hAnsiTheme="minorEastAsia" w:eastAsiaTheme="minorEastAsia" w:cstheme="minorEastAsia"/>
                <w:color w:val="auto"/>
                <w:szCs w:val="21"/>
                <w:vertAlign w:val="superscript"/>
                <w:lang w:val="en-US" w:eastAsia="zh-CN"/>
              </w:rPr>
              <w:t>*</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B</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4"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耐酸性</w:t>
            </w:r>
            <w:r>
              <w:rPr>
                <w:rFonts w:hint="eastAsia" w:asciiTheme="minorEastAsia" w:hAnsiTheme="minorEastAsia" w:eastAsiaTheme="minorEastAsia" w:cstheme="minorEastAsia"/>
                <w:color w:val="auto"/>
                <w:szCs w:val="21"/>
                <w:vertAlign w:val="superscript"/>
                <w:lang w:val="en-US" w:eastAsia="zh-CN"/>
              </w:rPr>
              <w:t>*</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B</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4"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耐碱性</w:t>
            </w:r>
            <w:r>
              <w:rPr>
                <w:rFonts w:hint="eastAsia" w:asciiTheme="minorEastAsia" w:hAnsiTheme="minorEastAsia" w:eastAsiaTheme="minorEastAsia" w:cstheme="minorEastAsia"/>
                <w:color w:val="auto"/>
                <w:szCs w:val="21"/>
                <w:vertAlign w:val="superscript"/>
                <w:lang w:val="en-US" w:eastAsia="zh-CN"/>
              </w:rPr>
              <w:t>*</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B</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一般性能</w:t>
            </w:r>
          </w:p>
        </w:tc>
        <w:tc>
          <w:tcPr>
            <w:tcW w:w="87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w:t>
            </w:r>
          </w:p>
        </w:tc>
        <w:tc>
          <w:tcPr>
            <w:tcW w:w="173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抗压强度</w:t>
            </w:r>
          </w:p>
        </w:tc>
        <w:tc>
          <w:tcPr>
            <w:tcW w:w="235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C</w:t>
            </w:r>
          </w:p>
        </w:tc>
        <w:tc>
          <w:tcPr>
            <w:tcW w:w="110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525" w:type="dxa"/>
            <w:gridSpan w:val="6"/>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eastAsia="zh-CN"/>
              </w:rPr>
              <w:t>注：</w:t>
            </w:r>
            <w:r>
              <w:rPr>
                <w:rFonts w:hint="eastAsia" w:asciiTheme="minorEastAsia" w:hAnsiTheme="minorEastAsia" w:eastAsiaTheme="minorEastAsia" w:cstheme="minorEastAsia"/>
                <w:color w:val="auto"/>
                <w:szCs w:val="21"/>
                <w:lang w:val="en-US" w:eastAsia="zh-CN"/>
              </w:rPr>
              <w:t>*为室外型产品检测项目</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40" w:lineRule="exact"/>
        <w:ind w:firstLine="0" w:firstLineChars="0"/>
        <w:jc w:val="center"/>
        <w:textAlignment w:val="auto"/>
        <w:rPr>
          <w:color w:val="auto"/>
          <w:szCs w:val="21"/>
        </w:rPr>
      </w:pPr>
      <w:r>
        <w:rPr>
          <w:rFonts w:hint="eastAsia"/>
          <w:color w:val="auto"/>
          <w:szCs w:val="21"/>
        </w:rPr>
        <w:t>表4执行GB</w:t>
      </w:r>
      <w:r>
        <w:rPr>
          <w:rFonts w:hint="eastAsia"/>
          <w:color w:val="auto"/>
          <w:szCs w:val="21"/>
          <w:lang w:val="en-US" w:eastAsia="zh-CN"/>
        </w:rPr>
        <w:t xml:space="preserve"> </w:t>
      </w:r>
      <w:r>
        <w:rPr>
          <w:rFonts w:hint="eastAsia"/>
          <w:color w:val="auto"/>
          <w:szCs w:val="21"/>
        </w:rPr>
        <w:t>12441-2018《饰面型防火涂料》标准的检验项目及依据</w:t>
      </w:r>
    </w:p>
    <w:tbl>
      <w:tblPr>
        <w:tblStyle w:val="18"/>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670"/>
        <w:gridCol w:w="1645"/>
        <w:gridCol w:w="2456"/>
        <w:gridCol w:w="1005"/>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553"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分类</w:t>
            </w:r>
          </w:p>
        </w:tc>
        <w:tc>
          <w:tcPr>
            <w:tcW w:w="670"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序号</w:t>
            </w:r>
          </w:p>
        </w:tc>
        <w:tc>
          <w:tcPr>
            <w:tcW w:w="164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检验项目</w:t>
            </w:r>
          </w:p>
        </w:tc>
        <w:tc>
          <w:tcPr>
            <w:tcW w:w="2456" w:type="dxa"/>
            <w:vAlign w:val="center"/>
          </w:tcPr>
          <w:p>
            <w:pPr>
              <w:ind w:firstLine="420" w:firstLineChars="200"/>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检验方法</w:t>
            </w:r>
          </w:p>
        </w:tc>
        <w:tc>
          <w:tcPr>
            <w:tcW w:w="100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重要程度分级</w:t>
            </w:r>
          </w:p>
        </w:tc>
        <w:tc>
          <w:tcPr>
            <w:tcW w:w="1208"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是否为环保指标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53" w:type="dxa"/>
            <w:vMerge w:val="restart"/>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安全性能</w:t>
            </w:r>
          </w:p>
        </w:tc>
        <w:tc>
          <w:tcPr>
            <w:tcW w:w="670"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164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耐燃时间</w:t>
            </w:r>
          </w:p>
        </w:tc>
        <w:tc>
          <w:tcPr>
            <w:tcW w:w="2456"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w:t>
            </w:r>
          </w:p>
        </w:tc>
        <w:tc>
          <w:tcPr>
            <w:tcW w:w="100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208" w:type="dxa"/>
            <w:vAlign w:val="center"/>
          </w:tcPr>
          <w:p>
            <w:pPr>
              <w:jc w:val="center"/>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53" w:type="dxa"/>
            <w:vMerge w:val="continue"/>
            <w:vAlign w:val="center"/>
          </w:tcPr>
          <w:p>
            <w:pPr>
              <w:jc w:val="center"/>
              <w:rPr>
                <w:rFonts w:asciiTheme="minorEastAsia" w:hAnsiTheme="minorEastAsia" w:eastAsiaTheme="minorEastAsia" w:cstheme="minorEastAsia"/>
                <w:color w:val="auto"/>
                <w:szCs w:val="21"/>
              </w:rPr>
            </w:pPr>
          </w:p>
        </w:tc>
        <w:tc>
          <w:tcPr>
            <w:tcW w:w="670"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p>
        </w:tc>
        <w:tc>
          <w:tcPr>
            <w:tcW w:w="164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难燃性</w:t>
            </w:r>
          </w:p>
        </w:tc>
        <w:tc>
          <w:tcPr>
            <w:tcW w:w="2456"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8625-2005</w:t>
            </w:r>
          </w:p>
        </w:tc>
        <w:tc>
          <w:tcPr>
            <w:tcW w:w="100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208" w:type="dxa"/>
            <w:vAlign w:val="center"/>
          </w:tcPr>
          <w:p>
            <w:pPr>
              <w:jc w:val="center"/>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53" w:type="dxa"/>
            <w:vMerge w:val="continue"/>
            <w:vAlign w:val="center"/>
          </w:tcPr>
          <w:p>
            <w:pPr>
              <w:jc w:val="center"/>
              <w:rPr>
                <w:rFonts w:asciiTheme="minorEastAsia" w:hAnsiTheme="minorEastAsia" w:eastAsiaTheme="minorEastAsia" w:cstheme="minorEastAsia"/>
                <w:color w:val="auto"/>
                <w:szCs w:val="21"/>
              </w:rPr>
            </w:pPr>
          </w:p>
        </w:tc>
        <w:tc>
          <w:tcPr>
            <w:tcW w:w="670"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p>
        </w:tc>
        <w:tc>
          <w:tcPr>
            <w:tcW w:w="164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质量损失</w:t>
            </w:r>
          </w:p>
        </w:tc>
        <w:tc>
          <w:tcPr>
            <w:tcW w:w="2456"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w:t>
            </w:r>
          </w:p>
        </w:tc>
        <w:tc>
          <w:tcPr>
            <w:tcW w:w="100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208" w:type="dxa"/>
            <w:vAlign w:val="center"/>
          </w:tcPr>
          <w:p>
            <w:pPr>
              <w:jc w:val="center"/>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3" w:type="dxa"/>
            <w:vMerge w:val="continue"/>
            <w:vAlign w:val="center"/>
          </w:tcPr>
          <w:p>
            <w:pPr>
              <w:jc w:val="center"/>
              <w:rPr>
                <w:rFonts w:asciiTheme="minorEastAsia" w:hAnsiTheme="minorEastAsia" w:eastAsiaTheme="minorEastAsia" w:cstheme="minorEastAsia"/>
                <w:color w:val="auto"/>
                <w:szCs w:val="21"/>
              </w:rPr>
            </w:pPr>
          </w:p>
        </w:tc>
        <w:tc>
          <w:tcPr>
            <w:tcW w:w="670"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w:t>
            </w:r>
          </w:p>
        </w:tc>
        <w:tc>
          <w:tcPr>
            <w:tcW w:w="164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炭化体积</w:t>
            </w:r>
          </w:p>
        </w:tc>
        <w:tc>
          <w:tcPr>
            <w:tcW w:w="2456"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w:t>
            </w:r>
          </w:p>
        </w:tc>
        <w:tc>
          <w:tcPr>
            <w:tcW w:w="1005" w:type="dxa"/>
            <w:vAlign w:val="center"/>
          </w:tcPr>
          <w:p>
            <w:pPr>
              <w:jc w:val="center"/>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208" w:type="dxa"/>
            <w:vAlign w:val="center"/>
          </w:tcPr>
          <w:p>
            <w:pPr>
              <w:jc w:val="center"/>
              <w:rPr>
                <w:color w:val="auto"/>
              </w:rPr>
            </w:pPr>
            <w:r>
              <w:rPr>
                <w:rFonts w:hint="eastAsia" w:asciiTheme="minorEastAsia" w:hAnsiTheme="minorEastAsia" w:eastAsiaTheme="minorEastAsia" w:cstheme="minorEastAsia"/>
                <w:color w:val="auto"/>
                <w:szCs w:val="21"/>
              </w:rPr>
              <w:t>否</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40" w:lineRule="exact"/>
        <w:ind w:firstLine="0" w:firstLineChars="0"/>
        <w:jc w:val="center"/>
        <w:textAlignment w:val="auto"/>
        <w:rPr>
          <w:rFonts w:hint="eastAsia" w:eastAsia="宋体"/>
          <w:color w:val="auto"/>
          <w:szCs w:val="21"/>
        </w:rPr>
      </w:pPr>
      <w:r>
        <w:rPr>
          <w:rFonts w:hint="eastAsia" w:eastAsia="宋体"/>
          <w:color w:val="auto"/>
          <w:szCs w:val="21"/>
        </w:rPr>
        <w:t>表5执行GB</w:t>
      </w:r>
      <w:r>
        <w:rPr>
          <w:rFonts w:hint="eastAsia" w:eastAsia="宋体"/>
          <w:color w:val="auto"/>
          <w:szCs w:val="21"/>
          <w:lang w:val="en-US" w:eastAsia="zh-CN"/>
        </w:rPr>
        <w:t xml:space="preserve"> </w:t>
      </w:r>
      <w:r>
        <w:rPr>
          <w:rFonts w:hint="eastAsia" w:eastAsia="宋体"/>
          <w:color w:val="auto"/>
          <w:szCs w:val="21"/>
        </w:rPr>
        <w:t>28275-2012《混凝土结构防火涂料》标准的检验项目及依据</w:t>
      </w:r>
    </w:p>
    <w:tbl>
      <w:tblPr>
        <w:tblStyle w:val="18"/>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675"/>
        <w:gridCol w:w="1835"/>
        <w:gridCol w:w="2295"/>
        <w:gridCol w:w="1012"/>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9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分类</w:t>
            </w:r>
          </w:p>
        </w:tc>
        <w:tc>
          <w:tcPr>
            <w:tcW w:w="67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序号</w:t>
            </w:r>
          </w:p>
        </w:tc>
        <w:tc>
          <w:tcPr>
            <w:tcW w:w="183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检验项目</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检验方法</w:t>
            </w:r>
          </w:p>
        </w:tc>
        <w:tc>
          <w:tcPr>
            <w:tcW w:w="101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重要程度分级</w:t>
            </w:r>
          </w:p>
        </w:tc>
        <w:tc>
          <w:tcPr>
            <w:tcW w:w="12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是否为环保指标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49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安全性能</w:t>
            </w:r>
          </w:p>
        </w:tc>
        <w:tc>
          <w:tcPr>
            <w:tcW w:w="67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1</w:t>
            </w:r>
          </w:p>
        </w:tc>
        <w:tc>
          <w:tcPr>
            <w:tcW w:w="183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耐火性能</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GB/T 9978.1-2008</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lang w:val="en-US" w:eastAsia="zh-CN"/>
              </w:rPr>
              <w:t xml:space="preserve">GA/T </w:t>
            </w:r>
            <w:r>
              <w:rPr>
                <w:rFonts w:hint="eastAsia" w:asciiTheme="minorEastAsia" w:hAnsiTheme="minorEastAsia" w:eastAsiaTheme="minorEastAsia" w:cstheme="minorEastAsia"/>
                <w:color w:val="auto"/>
                <w:szCs w:val="21"/>
              </w:rPr>
              <w:t>714 -2007</w:t>
            </w:r>
          </w:p>
        </w:tc>
        <w:tc>
          <w:tcPr>
            <w:tcW w:w="101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A</w:t>
            </w:r>
          </w:p>
        </w:tc>
        <w:tc>
          <w:tcPr>
            <w:tcW w:w="12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90"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一般性能</w:t>
            </w:r>
          </w:p>
        </w:tc>
        <w:tc>
          <w:tcPr>
            <w:tcW w:w="67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w:t>
            </w:r>
          </w:p>
        </w:tc>
        <w:tc>
          <w:tcPr>
            <w:tcW w:w="183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抗压强度</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1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val="en-US" w:eastAsia="zh-CN"/>
              </w:rPr>
              <w:t>B</w:t>
            </w:r>
          </w:p>
        </w:tc>
        <w:tc>
          <w:tcPr>
            <w:tcW w:w="12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color w:val="auto"/>
              </w:rPr>
            </w:pPr>
            <w:r>
              <w:rPr>
                <w:rFonts w:hint="eastAsia" w:asciiTheme="minorEastAsia" w:hAnsiTheme="minorEastAsia" w:eastAsiaTheme="minorEastAsia" w:cstheme="minorEastAsia"/>
                <w:color w:val="auto"/>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490"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p>
        </w:tc>
        <w:tc>
          <w:tcPr>
            <w:tcW w:w="67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w:t>
            </w:r>
          </w:p>
        </w:tc>
        <w:tc>
          <w:tcPr>
            <w:tcW w:w="183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在容器中的状态</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w:t>
            </w:r>
          </w:p>
        </w:tc>
        <w:tc>
          <w:tcPr>
            <w:tcW w:w="101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C</w:t>
            </w:r>
          </w:p>
        </w:tc>
        <w:tc>
          <w:tcPr>
            <w:tcW w:w="12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color w:val="auto"/>
              </w:rPr>
            </w:pPr>
            <w:r>
              <w:rPr>
                <w:rFonts w:hint="eastAsia" w:asciiTheme="minorEastAsia" w:hAnsiTheme="minorEastAsia" w:eastAsiaTheme="minorEastAsia" w:cstheme="minorEastAsia"/>
                <w:color w:val="auto"/>
                <w:szCs w:val="21"/>
              </w:rPr>
              <w:t>否</w:t>
            </w:r>
          </w:p>
        </w:tc>
      </w:tr>
    </w:tbl>
    <w:p>
      <w:pPr>
        <w:adjustRightInd w:val="0"/>
        <w:snapToGrid w:val="0"/>
        <w:spacing w:line="440" w:lineRule="exact"/>
        <w:ind w:firstLine="440" w:firstLineChars="200"/>
        <w:rPr>
          <w:color w:val="auto"/>
          <w:szCs w:val="21"/>
        </w:rPr>
      </w:pPr>
      <w:r>
        <w:rPr>
          <w:rFonts w:hint="eastAsia" w:ascii="宋体" w:hAnsi="宋体" w:cs="宋体"/>
          <w:color w:val="auto"/>
          <w:kern w:val="0"/>
          <w:sz w:val="22"/>
        </w:rPr>
        <w:t>重要程度分级：</w:t>
      </w:r>
      <w:r>
        <w:rPr>
          <w:rFonts w:hint="eastAsia"/>
          <w:color w:val="auto"/>
          <w:szCs w:val="21"/>
        </w:rPr>
        <w:t>A类-极重要质量项目，B类-重要质量项目，C</w:t>
      </w:r>
      <w:r>
        <w:rPr>
          <w:color w:val="auto"/>
          <w:szCs w:val="21"/>
        </w:rPr>
        <w:t>-</w:t>
      </w:r>
      <w:r>
        <w:rPr>
          <w:rFonts w:hint="eastAsia"/>
          <w:color w:val="auto"/>
          <w:szCs w:val="21"/>
        </w:rPr>
        <w:t>一般质量项目</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凡是注日期的文件，其随后所有的修改单（不包括勘误的内容）或修订版不适用。凡是不注日期的文件，其最新版适用。</w:t>
      </w:r>
    </w:p>
    <w:p>
      <w:pPr>
        <w:adjustRightInd w:val="0"/>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依照有关规定或产品适用标准，需要检测的其他项目，可视情况进行调整。</w:t>
      </w:r>
    </w:p>
    <w:p>
      <w:pPr>
        <w:adjustRightInd w:val="0"/>
        <w:snapToGrid w:val="0"/>
        <w:spacing w:before="312" w:beforeLines="100" w:after="312" w:afterLines="100" w:line="440" w:lineRule="exact"/>
        <w:rPr>
          <w:rFonts w:hint="eastAsia" w:ascii="黑体" w:hAnsi="黑体" w:eastAsia="黑体" w:cs="黑体"/>
          <w:color w:val="auto"/>
          <w:szCs w:val="21"/>
        </w:rPr>
      </w:pPr>
      <w:r>
        <w:rPr>
          <w:rFonts w:hint="eastAsia" w:ascii="黑体" w:hAnsi="黑体" w:eastAsia="黑体" w:cs="黑体"/>
          <w:color w:val="auto"/>
          <w:szCs w:val="21"/>
        </w:rPr>
        <w:t>4判定规则</w:t>
      </w:r>
    </w:p>
    <w:p>
      <w:pPr>
        <w:spacing w:line="440" w:lineRule="exact"/>
        <w:rPr>
          <w:rFonts w:ascii="Times New Roman" w:hAnsi="Times New Roman"/>
          <w:color w:val="auto"/>
          <w:szCs w:val="21"/>
        </w:rPr>
      </w:pPr>
      <w:r>
        <w:rPr>
          <w:rFonts w:hint="eastAsia" w:ascii="Times New Roman" w:hAnsi="Times New Roman"/>
          <w:color w:val="auto"/>
          <w:szCs w:val="21"/>
        </w:rPr>
        <w:t>4.1依据标准</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14907-2018《钢结构防火涂料》</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12441-2018《饰面型防火涂料》</w:t>
      </w:r>
    </w:p>
    <w:p>
      <w:pPr>
        <w:spacing w:line="440" w:lineRule="exact"/>
        <w:ind w:firstLine="420" w:firstLineChars="200"/>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GB 28375-2012《混凝土结构防火涂料》</w:t>
      </w:r>
    </w:p>
    <w:p>
      <w:pPr>
        <w:spacing w:line="440" w:lineRule="exact"/>
        <w:rPr>
          <w:rFonts w:ascii="Times New Roman" w:hAnsi="Times New Roman"/>
          <w:color w:val="auto"/>
          <w:szCs w:val="21"/>
        </w:rPr>
      </w:pPr>
      <w:r>
        <w:rPr>
          <w:rFonts w:hint="eastAsia" w:ascii="Times New Roman" w:hAnsi="Times New Roman"/>
          <w:color w:val="auto"/>
          <w:szCs w:val="21"/>
        </w:rPr>
        <w:t>4.2判定原则</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单项判定：经检验，任一项目中全部参数合格，判定该项目合格；任一项目中有一个或一个以上参数不合格，判定该项目不合格。</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综合判定：</w:t>
      </w:r>
      <w:r>
        <w:rPr>
          <w:rFonts w:ascii="Times New Roman" w:hAnsi="Times New Roman"/>
          <w:color w:val="auto"/>
          <w:szCs w:val="21"/>
        </w:rPr>
        <w:t>经检验，检验项目全部合格，判定为被抽查产品所检项目未发现不合格</w:t>
      </w:r>
      <w:r>
        <w:rPr>
          <w:rFonts w:hint="eastAsia" w:ascii="Times New Roman" w:hAnsi="Times New Roman"/>
          <w:color w:val="auto"/>
          <w:szCs w:val="21"/>
        </w:rPr>
        <w:t>；检验项目中有任一项或一项以上不合格，判定为被抽查产品不合格。</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若被检产品明示的质量要求高于本细则中检验项目依据的标准要求时，应按被检产品明示的质量要求判定。</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若被检产品明示的质量要求低于本细则中检验项目依据的强制性标准要求时，应按照强制性标准要求判定。</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若被检产品明示的质量要求低于或包含本细则中检验项目依据的推荐性标准要求时，应以被检产品明示的质量要求判定。</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若被检产品明示的质量要求缺少本细则中检验项目依据的强制性标准要求时，应按照强制性标准要求判定。</w:t>
      </w:r>
    </w:p>
    <w:p>
      <w:pPr>
        <w:spacing w:line="440" w:lineRule="exact"/>
        <w:ind w:firstLine="420" w:firstLineChars="200"/>
        <w:rPr>
          <w:rFonts w:ascii="Times New Roman" w:hAnsi="Times New Roman"/>
          <w:color w:val="auto"/>
          <w:szCs w:val="21"/>
        </w:rPr>
      </w:pPr>
      <w:r>
        <w:rPr>
          <w:rFonts w:hint="eastAsia" w:ascii="Times New Roman" w:hAnsi="Times New Roman"/>
          <w:color w:val="auto"/>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474" w:bottom="1644" w:left="1587" w:header="851" w:footer="737"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5D197D-4884-44AC-97CE-811095ACD1C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inherit">
    <w:altName w:val="Segoe Print"/>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199EEF41-D0C6-4EA0-8DBA-141322475723}"/>
  </w:font>
  <w:font w:name="方正小标宋_GBK">
    <w:altName w:val="微软雅黑"/>
    <w:panose1 w:val="02000000000000000000"/>
    <w:charset w:val="86"/>
    <w:family w:val="auto"/>
    <w:pitch w:val="default"/>
    <w:sig w:usb0="00000000" w:usb1="00000000" w:usb2="00000000" w:usb3="00000000" w:csb0="00040000" w:csb1="00000000"/>
    <w:embedRegular r:id="rId3" w:fontKey="{0B8A3889-8DFC-4523-9ABA-0192CF5AEF9F}"/>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lang w:val="zh-CN"/>
      </w:rPr>
      <w:fldChar w:fldCharType="begin"/>
    </w:r>
    <w:r>
      <w:rPr>
        <w:lang w:val="zh-CN"/>
      </w:rPr>
      <w:instrText xml:space="preserve"> PAGE   \* MERGEFORMAT </w:instrText>
    </w:r>
    <w:r>
      <w:rPr>
        <w:lang w:val="zh-CN"/>
      </w:rPr>
      <w:fldChar w:fldCharType="separate"/>
    </w:r>
    <w:r>
      <w:rPr>
        <w:lang w:val="zh-CN"/>
      </w:rPr>
      <w:t>2</w:t>
    </w:r>
    <w:r>
      <w:rPr>
        <w:lang w:val="zh-CN"/>
      </w:rPr>
      <w:fldChar w:fldCharType="end"/>
    </w:r>
  </w:p>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1"/>
      </w:rPr>
    </w:pPr>
    <w:r>
      <w:fldChar w:fldCharType="begin"/>
    </w:r>
    <w:r>
      <w:rPr>
        <w:rStyle w:val="21"/>
      </w:rPr>
      <w:instrText xml:space="preserve">PAGE  </w:instrText>
    </w:r>
    <w:r>
      <w:fldChar w:fldCharType="end"/>
    </w:r>
  </w:p>
  <w:p>
    <w:pPr>
      <w:pStyle w:val="1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yMDdlZGI4ZjEyNmNiODkzZmVhNDZjOGNmNjI4NTIifQ=="/>
  </w:docVars>
  <w:rsids>
    <w:rsidRoot w:val="00FC354F"/>
    <w:rsid w:val="0000010D"/>
    <w:rsid w:val="0000190D"/>
    <w:rsid w:val="000023EB"/>
    <w:rsid w:val="00006010"/>
    <w:rsid w:val="00013CA2"/>
    <w:rsid w:val="0002136D"/>
    <w:rsid w:val="0002426A"/>
    <w:rsid w:val="00034CD5"/>
    <w:rsid w:val="0003674E"/>
    <w:rsid w:val="000416F1"/>
    <w:rsid w:val="00041E07"/>
    <w:rsid w:val="00043975"/>
    <w:rsid w:val="000448C8"/>
    <w:rsid w:val="0004771B"/>
    <w:rsid w:val="000505FB"/>
    <w:rsid w:val="00052B15"/>
    <w:rsid w:val="00060989"/>
    <w:rsid w:val="00063D84"/>
    <w:rsid w:val="00071B75"/>
    <w:rsid w:val="00071FA4"/>
    <w:rsid w:val="00082B64"/>
    <w:rsid w:val="0008682C"/>
    <w:rsid w:val="00091947"/>
    <w:rsid w:val="000A72FC"/>
    <w:rsid w:val="000B2221"/>
    <w:rsid w:val="000B26CB"/>
    <w:rsid w:val="000B34E0"/>
    <w:rsid w:val="000B54A8"/>
    <w:rsid w:val="000C2083"/>
    <w:rsid w:val="000D0103"/>
    <w:rsid w:val="000D09B8"/>
    <w:rsid w:val="000E7A37"/>
    <w:rsid w:val="000F1F14"/>
    <w:rsid w:val="000F2085"/>
    <w:rsid w:val="000F25FE"/>
    <w:rsid w:val="001061BD"/>
    <w:rsid w:val="00107E97"/>
    <w:rsid w:val="001108E5"/>
    <w:rsid w:val="00110983"/>
    <w:rsid w:val="001116B3"/>
    <w:rsid w:val="00111CB7"/>
    <w:rsid w:val="0011401E"/>
    <w:rsid w:val="00116F57"/>
    <w:rsid w:val="0012489D"/>
    <w:rsid w:val="00127E2A"/>
    <w:rsid w:val="00131E4A"/>
    <w:rsid w:val="001324F7"/>
    <w:rsid w:val="00134F9B"/>
    <w:rsid w:val="00135B42"/>
    <w:rsid w:val="0014415E"/>
    <w:rsid w:val="00152E7F"/>
    <w:rsid w:val="00157B83"/>
    <w:rsid w:val="001604BD"/>
    <w:rsid w:val="001651D3"/>
    <w:rsid w:val="00166969"/>
    <w:rsid w:val="00167689"/>
    <w:rsid w:val="0016797C"/>
    <w:rsid w:val="0017544D"/>
    <w:rsid w:val="00176589"/>
    <w:rsid w:val="00192FE3"/>
    <w:rsid w:val="00193D7F"/>
    <w:rsid w:val="00195569"/>
    <w:rsid w:val="0019692F"/>
    <w:rsid w:val="00196AB4"/>
    <w:rsid w:val="0019749D"/>
    <w:rsid w:val="001A3CBD"/>
    <w:rsid w:val="001B0F88"/>
    <w:rsid w:val="001B3E6E"/>
    <w:rsid w:val="001B6A63"/>
    <w:rsid w:val="001D1AAA"/>
    <w:rsid w:val="001D464E"/>
    <w:rsid w:val="001D6EEE"/>
    <w:rsid w:val="001D7B00"/>
    <w:rsid w:val="001E3725"/>
    <w:rsid w:val="001F0DF2"/>
    <w:rsid w:val="001F12A0"/>
    <w:rsid w:val="001F4CC6"/>
    <w:rsid w:val="00201B34"/>
    <w:rsid w:val="00201BF7"/>
    <w:rsid w:val="002056B6"/>
    <w:rsid w:val="00210F33"/>
    <w:rsid w:val="002114CE"/>
    <w:rsid w:val="00216FB6"/>
    <w:rsid w:val="00217329"/>
    <w:rsid w:val="002177EF"/>
    <w:rsid w:val="00221BFC"/>
    <w:rsid w:val="00222D0E"/>
    <w:rsid w:val="00231EDA"/>
    <w:rsid w:val="00232389"/>
    <w:rsid w:val="002364F7"/>
    <w:rsid w:val="00236555"/>
    <w:rsid w:val="00236FA0"/>
    <w:rsid w:val="0024214A"/>
    <w:rsid w:val="0025136D"/>
    <w:rsid w:val="00251A11"/>
    <w:rsid w:val="00253795"/>
    <w:rsid w:val="00254E8C"/>
    <w:rsid w:val="0025660F"/>
    <w:rsid w:val="002567B7"/>
    <w:rsid w:val="00264542"/>
    <w:rsid w:val="0026476A"/>
    <w:rsid w:val="00265BBF"/>
    <w:rsid w:val="00265ECC"/>
    <w:rsid w:val="00267FF5"/>
    <w:rsid w:val="002741B6"/>
    <w:rsid w:val="0027555A"/>
    <w:rsid w:val="002805B1"/>
    <w:rsid w:val="00282616"/>
    <w:rsid w:val="00284641"/>
    <w:rsid w:val="002854E9"/>
    <w:rsid w:val="00285E88"/>
    <w:rsid w:val="0028722C"/>
    <w:rsid w:val="0029056B"/>
    <w:rsid w:val="002910F7"/>
    <w:rsid w:val="00291535"/>
    <w:rsid w:val="00291901"/>
    <w:rsid w:val="00294228"/>
    <w:rsid w:val="002957C9"/>
    <w:rsid w:val="002A487F"/>
    <w:rsid w:val="002B0DAA"/>
    <w:rsid w:val="002B15A7"/>
    <w:rsid w:val="002B24B5"/>
    <w:rsid w:val="002C3A53"/>
    <w:rsid w:val="002C65BA"/>
    <w:rsid w:val="002D6E1D"/>
    <w:rsid w:val="002E022A"/>
    <w:rsid w:val="002E65F5"/>
    <w:rsid w:val="002F0916"/>
    <w:rsid w:val="002F1DC7"/>
    <w:rsid w:val="002F32B9"/>
    <w:rsid w:val="002F5A9E"/>
    <w:rsid w:val="002F7D1C"/>
    <w:rsid w:val="00302A56"/>
    <w:rsid w:val="00304938"/>
    <w:rsid w:val="0031584F"/>
    <w:rsid w:val="00320896"/>
    <w:rsid w:val="003215C6"/>
    <w:rsid w:val="00321B8F"/>
    <w:rsid w:val="00322282"/>
    <w:rsid w:val="00322D7B"/>
    <w:rsid w:val="0032709A"/>
    <w:rsid w:val="00330D42"/>
    <w:rsid w:val="0033170A"/>
    <w:rsid w:val="003326E6"/>
    <w:rsid w:val="00336916"/>
    <w:rsid w:val="00337F93"/>
    <w:rsid w:val="003421C7"/>
    <w:rsid w:val="00346F26"/>
    <w:rsid w:val="0034770E"/>
    <w:rsid w:val="00347D25"/>
    <w:rsid w:val="003515DA"/>
    <w:rsid w:val="00364D2D"/>
    <w:rsid w:val="003671BC"/>
    <w:rsid w:val="00370E05"/>
    <w:rsid w:val="00371EFE"/>
    <w:rsid w:val="00383E1B"/>
    <w:rsid w:val="00386DC6"/>
    <w:rsid w:val="00392752"/>
    <w:rsid w:val="00394380"/>
    <w:rsid w:val="003951D9"/>
    <w:rsid w:val="003973A7"/>
    <w:rsid w:val="003A6622"/>
    <w:rsid w:val="003B1DBA"/>
    <w:rsid w:val="003C0A00"/>
    <w:rsid w:val="003C113B"/>
    <w:rsid w:val="003C118E"/>
    <w:rsid w:val="003C3203"/>
    <w:rsid w:val="003C55B6"/>
    <w:rsid w:val="003E136D"/>
    <w:rsid w:val="003E3BF4"/>
    <w:rsid w:val="003F11E8"/>
    <w:rsid w:val="003F29D3"/>
    <w:rsid w:val="003F5679"/>
    <w:rsid w:val="004007A6"/>
    <w:rsid w:val="004022D7"/>
    <w:rsid w:val="004045FB"/>
    <w:rsid w:val="0040757B"/>
    <w:rsid w:val="004076E5"/>
    <w:rsid w:val="00412D34"/>
    <w:rsid w:val="004139DE"/>
    <w:rsid w:val="00415D1D"/>
    <w:rsid w:val="00416E33"/>
    <w:rsid w:val="00417416"/>
    <w:rsid w:val="0042400A"/>
    <w:rsid w:val="0043730A"/>
    <w:rsid w:val="00443095"/>
    <w:rsid w:val="00444A7C"/>
    <w:rsid w:val="004459D4"/>
    <w:rsid w:val="0044664D"/>
    <w:rsid w:val="00446C87"/>
    <w:rsid w:val="004547CB"/>
    <w:rsid w:val="0045499D"/>
    <w:rsid w:val="00455157"/>
    <w:rsid w:val="00460649"/>
    <w:rsid w:val="00461A4A"/>
    <w:rsid w:val="0046476D"/>
    <w:rsid w:val="00465D8B"/>
    <w:rsid w:val="004676A5"/>
    <w:rsid w:val="00467F7B"/>
    <w:rsid w:val="00470D25"/>
    <w:rsid w:val="00473EE7"/>
    <w:rsid w:val="00475B46"/>
    <w:rsid w:val="004803F6"/>
    <w:rsid w:val="00483743"/>
    <w:rsid w:val="0048569D"/>
    <w:rsid w:val="0048613B"/>
    <w:rsid w:val="0048696A"/>
    <w:rsid w:val="00495A77"/>
    <w:rsid w:val="004A4ACE"/>
    <w:rsid w:val="004A6254"/>
    <w:rsid w:val="004B5615"/>
    <w:rsid w:val="004B59F4"/>
    <w:rsid w:val="004C26C7"/>
    <w:rsid w:val="004C6BFE"/>
    <w:rsid w:val="004C7311"/>
    <w:rsid w:val="004C7DEB"/>
    <w:rsid w:val="004D4AE3"/>
    <w:rsid w:val="004D4C23"/>
    <w:rsid w:val="004D53AE"/>
    <w:rsid w:val="004D6B2A"/>
    <w:rsid w:val="004D6EB2"/>
    <w:rsid w:val="004D7BF9"/>
    <w:rsid w:val="004E07C5"/>
    <w:rsid w:val="004E0BCD"/>
    <w:rsid w:val="004F414B"/>
    <w:rsid w:val="004F5BD0"/>
    <w:rsid w:val="004F7FA1"/>
    <w:rsid w:val="00505C5E"/>
    <w:rsid w:val="00511FE8"/>
    <w:rsid w:val="00512C4D"/>
    <w:rsid w:val="00513EF8"/>
    <w:rsid w:val="0051694B"/>
    <w:rsid w:val="00521160"/>
    <w:rsid w:val="005225E9"/>
    <w:rsid w:val="005261A8"/>
    <w:rsid w:val="00532181"/>
    <w:rsid w:val="005327FE"/>
    <w:rsid w:val="00535842"/>
    <w:rsid w:val="00536C6B"/>
    <w:rsid w:val="0054066F"/>
    <w:rsid w:val="00552B9E"/>
    <w:rsid w:val="005636C1"/>
    <w:rsid w:val="00563B0F"/>
    <w:rsid w:val="00563BE5"/>
    <w:rsid w:val="005654F1"/>
    <w:rsid w:val="00565FAC"/>
    <w:rsid w:val="0057023D"/>
    <w:rsid w:val="00570443"/>
    <w:rsid w:val="00571370"/>
    <w:rsid w:val="00571573"/>
    <w:rsid w:val="00573E1C"/>
    <w:rsid w:val="005764C1"/>
    <w:rsid w:val="005811FC"/>
    <w:rsid w:val="005830FC"/>
    <w:rsid w:val="00591370"/>
    <w:rsid w:val="00591FEA"/>
    <w:rsid w:val="00596E55"/>
    <w:rsid w:val="00596F35"/>
    <w:rsid w:val="005A0C6B"/>
    <w:rsid w:val="005A48F7"/>
    <w:rsid w:val="005B0BA1"/>
    <w:rsid w:val="005B3FD6"/>
    <w:rsid w:val="005B7F61"/>
    <w:rsid w:val="005C077F"/>
    <w:rsid w:val="005D1263"/>
    <w:rsid w:val="005D15E4"/>
    <w:rsid w:val="005D5D8A"/>
    <w:rsid w:val="005E148C"/>
    <w:rsid w:val="005E1B7E"/>
    <w:rsid w:val="005E5466"/>
    <w:rsid w:val="005F0F64"/>
    <w:rsid w:val="006000CA"/>
    <w:rsid w:val="00603F11"/>
    <w:rsid w:val="00604CEE"/>
    <w:rsid w:val="00606722"/>
    <w:rsid w:val="00613995"/>
    <w:rsid w:val="00613E09"/>
    <w:rsid w:val="00613FEF"/>
    <w:rsid w:val="00623093"/>
    <w:rsid w:val="00633969"/>
    <w:rsid w:val="00635EB5"/>
    <w:rsid w:val="00642C58"/>
    <w:rsid w:val="00642EAD"/>
    <w:rsid w:val="0064329C"/>
    <w:rsid w:val="006442D1"/>
    <w:rsid w:val="0064489F"/>
    <w:rsid w:val="00645809"/>
    <w:rsid w:val="00647109"/>
    <w:rsid w:val="006528C6"/>
    <w:rsid w:val="00656EF7"/>
    <w:rsid w:val="00657610"/>
    <w:rsid w:val="006605B6"/>
    <w:rsid w:val="0066286F"/>
    <w:rsid w:val="00667667"/>
    <w:rsid w:val="0067230C"/>
    <w:rsid w:val="00682920"/>
    <w:rsid w:val="00684E15"/>
    <w:rsid w:val="00690EB1"/>
    <w:rsid w:val="0069104D"/>
    <w:rsid w:val="006B7A34"/>
    <w:rsid w:val="006C0064"/>
    <w:rsid w:val="006C7917"/>
    <w:rsid w:val="006D40BA"/>
    <w:rsid w:val="006E0559"/>
    <w:rsid w:val="006E1549"/>
    <w:rsid w:val="006E174B"/>
    <w:rsid w:val="006E211D"/>
    <w:rsid w:val="006E5A84"/>
    <w:rsid w:val="006F25E6"/>
    <w:rsid w:val="006F37B0"/>
    <w:rsid w:val="006F67A2"/>
    <w:rsid w:val="00703550"/>
    <w:rsid w:val="0070403E"/>
    <w:rsid w:val="00706266"/>
    <w:rsid w:val="007070D5"/>
    <w:rsid w:val="00711ECE"/>
    <w:rsid w:val="00713F55"/>
    <w:rsid w:val="0071471A"/>
    <w:rsid w:val="00714AFE"/>
    <w:rsid w:val="00714BDA"/>
    <w:rsid w:val="00717ACE"/>
    <w:rsid w:val="007211E4"/>
    <w:rsid w:val="00721A29"/>
    <w:rsid w:val="00721C45"/>
    <w:rsid w:val="007241C6"/>
    <w:rsid w:val="00725913"/>
    <w:rsid w:val="00731700"/>
    <w:rsid w:val="00735773"/>
    <w:rsid w:val="00737A16"/>
    <w:rsid w:val="00737BC5"/>
    <w:rsid w:val="00741C5B"/>
    <w:rsid w:val="00742E13"/>
    <w:rsid w:val="0074429A"/>
    <w:rsid w:val="00746AA9"/>
    <w:rsid w:val="00747C49"/>
    <w:rsid w:val="007511FD"/>
    <w:rsid w:val="00755941"/>
    <w:rsid w:val="0076703F"/>
    <w:rsid w:val="0076715C"/>
    <w:rsid w:val="007807A9"/>
    <w:rsid w:val="00782828"/>
    <w:rsid w:val="00782905"/>
    <w:rsid w:val="00782BBF"/>
    <w:rsid w:val="0078519B"/>
    <w:rsid w:val="00790CD5"/>
    <w:rsid w:val="007919D2"/>
    <w:rsid w:val="007A5AF8"/>
    <w:rsid w:val="007A7CD3"/>
    <w:rsid w:val="007C1F9A"/>
    <w:rsid w:val="007C3737"/>
    <w:rsid w:val="007C72F6"/>
    <w:rsid w:val="007D0295"/>
    <w:rsid w:val="007E19E0"/>
    <w:rsid w:val="007F3898"/>
    <w:rsid w:val="007F5478"/>
    <w:rsid w:val="007F565C"/>
    <w:rsid w:val="00800514"/>
    <w:rsid w:val="00800E9E"/>
    <w:rsid w:val="00802BCB"/>
    <w:rsid w:val="00806106"/>
    <w:rsid w:val="00806485"/>
    <w:rsid w:val="00823690"/>
    <w:rsid w:val="00826D08"/>
    <w:rsid w:val="00831BAB"/>
    <w:rsid w:val="0083201F"/>
    <w:rsid w:val="008330A2"/>
    <w:rsid w:val="00836B1E"/>
    <w:rsid w:val="008378D6"/>
    <w:rsid w:val="00837E1C"/>
    <w:rsid w:val="008401F1"/>
    <w:rsid w:val="00841591"/>
    <w:rsid w:val="00847F17"/>
    <w:rsid w:val="00851726"/>
    <w:rsid w:val="00851E16"/>
    <w:rsid w:val="00851EEF"/>
    <w:rsid w:val="00853B7D"/>
    <w:rsid w:val="00864A16"/>
    <w:rsid w:val="0086758A"/>
    <w:rsid w:val="008724E3"/>
    <w:rsid w:val="00881728"/>
    <w:rsid w:val="00890A50"/>
    <w:rsid w:val="00890E20"/>
    <w:rsid w:val="008932AF"/>
    <w:rsid w:val="008A128E"/>
    <w:rsid w:val="008A3D9D"/>
    <w:rsid w:val="008A5BAE"/>
    <w:rsid w:val="008B3C4B"/>
    <w:rsid w:val="008B6BDD"/>
    <w:rsid w:val="008B6F44"/>
    <w:rsid w:val="008C24CC"/>
    <w:rsid w:val="008C2EED"/>
    <w:rsid w:val="008C3EEC"/>
    <w:rsid w:val="008C46F9"/>
    <w:rsid w:val="008C4E9E"/>
    <w:rsid w:val="008C649C"/>
    <w:rsid w:val="008C77F1"/>
    <w:rsid w:val="008C7A37"/>
    <w:rsid w:val="008D2456"/>
    <w:rsid w:val="008E1CE5"/>
    <w:rsid w:val="008E3567"/>
    <w:rsid w:val="008F295E"/>
    <w:rsid w:val="008F3F60"/>
    <w:rsid w:val="008F40B4"/>
    <w:rsid w:val="008F658A"/>
    <w:rsid w:val="00901853"/>
    <w:rsid w:val="00901A0A"/>
    <w:rsid w:val="009021E2"/>
    <w:rsid w:val="009039A3"/>
    <w:rsid w:val="009049A2"/>
    <w:rsid w:val="00904D70"/>
    <w:rsid w:val="009178CB"/>
    <w:rsid w:val="0092089C"/>
    <w:rsid w:val="00921BA5"/>
    <w:rsid w:val="009231AD"/>
    <w:rsid w:val="00923FAB"/>
    <w:rsid w:val="00931DAA"/>
    <w:rsid w:val="00934709"/>
    <w:rsid w:val="0093621A"/>
    <w:rsid w:val="0094176B"/>
    <w:rsid w:val="00950E9E"/>
    <w:rsid w:val="00952C79"/>
    <w:rsid w:val="009578F8"/>
    <w:rsid w:val="00960587"/>
    <w:rsid w:val="00962074"/>
    <w:rsid w:val="00963ACC"/>
    <w:rsid w:val="0098227F"/>
    <w:rsid w:val="0098657F"/>
    <w:rsid w:val="00987B3B"/>
    <w:rsid w:val="00987EDF"/>
    <w:rsid w:val="0099536B"/>
    <w:rsid w:val="00997246"/>
    <w:rsid w:val="009A293E"/>
    <w:rsid w:val="009B22F7"/>
    <w:rsid w:val="009B3732"/>
    <w:rsid w:val="009B49B8"/>
    <w:rsid w:val="009B5305"/>
    <w:rsid w:val="009C5099"/>
    <w:rsid w:val="009C5594"/>
    <w:rsid w:val="009C56DA"/>
    <w:rsid w:val="009D1B9C"/>
    <w:rsid w:val="009D5C97"/>
    <w:rsid w:val="009E15B4"/>
    <w:rsid w:val="009E48F8"/>
    <w:rsid w:val="009E54BD"/>
    <w:rsid w:val="009E7E42"/>
    <w:rsid w:val="009F0B8C"/>
    <w:rsid w:val="00A042E7"/>
    <w:rsid w:val="00A07534"/>
    <w:rsid w:val="00A1549F"/>
    <w:rsid w:val="00A16B0F"/>
    <w:rsid w:val="00A210F7"/>
    <w:rsid w:val="00A214F2"/>
    <w:rsid w:val="00A2318C"/>
    <w:rsid w:val="00A26F97"/>
    <w:rsid w:val="00A36A39"/>
    <w:rsid w:val="00A37612"/>
    <w:rsid w:val="00A44FCD"/>
    <w:rsid w:val="00A568EB"/>
    <w:rsid w:val="00A60CC4"/>
    <w:rsid w:val="00A61FC5"/>
    <w:rsid w:val="00A62B03"/>
    <w:rsid w:val="00A660D6"/>
    <w:rsid w:val="00A67186"/>
    <w:rsid w:val="00A67F9D"/>
    <w:rsid w:val="00A7138C"/>
    <w:rsid w:val="00A7196F"/>
    <w:rsid w:val="00A74E2D"/>
    <w:rsid w:val="00A75CEA"/>
    <w:rsid w:val="00A827FE"/>
    <w:rsid w:val="00A83910"/>
    <w:rsid w:val="00A915A0"/>
    <w:rsid w:val="00AA52FE"/>
    <w:rsid w:val="00AC1121"/>
    <w:rsid w:val="00AC3819"/>
    <w:rsid w:val="00AD12AB"/>
    <w:rsid w:val="00AD1D2A"/>
    <w:rsid w:val="00AE1C6D"/>
    <w:rsid w:val="00AE54E9"/>
    <w:rsid w:val="00AE641F"/>
    <w:rsid w:val="00AE6C07"/>
    <w:rsid w:val="00AE6C5D"/>
    <w:rsid w:val="00AF0678"/>
    <w:rsid w:val="00AF07FD"/>
    <w:rsid w:val="00AF345F"/>
    <w:rsid w:val="00AF4C0C"/>
    <w:rsid w:val="00AF5E0D"/>
    <w:rsid w:val="00AF619C"/>
    <w:rsid w:val="00AF7E4B"/>
    <w:rsid w:val="00B00684"/>
    <w:rsid w:val="00B05443"/>
    <w:rsid w:val="00B13300"/>
    <w:rsid w:val="00B3163C"/>
    <w:rsid w:val="00B32C26"/>
    <w:rsid w:val="00B32FE0"/>
    <w:rsid w:val="00B335BE"/>
    <w:rsid w:val="00B352DB"/>
    <w:rsid w:val="00B35672"/>
    <w:rsid w:val="00B3794A"/>
    <w:rsid w:val="00B4120C"/>
    <w:rsid w:val="00B4486E"/>
    <w:rsid w:val="00B478A2"/>
    <w:rsid w:val="00B47DBE"/>
    <w:rsid w:val="00B5411C"/>
    <w:rsid w:val="00B55B24"/>
    <w:rsid w:val="00B62073"/>
    <w:rsid w:val="00B6568E"/>
    <w:rsid w:val="00B70002"/>
    <w:rsid w:val="00B7271C"/>
    <w:rsid w:val="00B75499"/>
    <w:rsid w:val="00B85956"/>
    <w:rsid w:val="00B866C6"/>
    <w:rsid w:val="00B91D1B"/>
    <w:rsid w:val="00BA0356"/>
    <w:rsid w:val="00BA148F"/>
    <w:rsid w:val="00BA174D"/>
    <w:rsid w:val="00BA47AA"/>
    <w:rsid w:val="00BA5165"/>
    <w:rsid w:val="00BA63E8"/>
    <w:rsid w:val="00BB03C2"/>
    <w:rsid w:val="00BB1ECB"/>
    <w:rsid w:val="00BB3700"/>
    <w:rsid w:val="00BB3A47"/>
    <w:rsid w:val="00BB6389"/>
    <w:rsid w:val="00BB7E57"/>
    <w:rsid w:val="00BC200D"/>
    <w:rsid w:val="00BC310A"/>
    <w:rsid w:val="00BC44FB"/>
    <w:rsid w:val="00BC70C1"/>
    <w:rsid w:val="00BD3019"/>
    <w:rsid w:val="00BE4D72"/>
    <w:rsid w:val="00BF2F59"/>
    <w:rsid w:val="00BF3DB5"/>
    <w:rsid w:val="00BF4D5E"/>
    <w:rsid w:val="00C008CC"/>
    <w:rsid w:val="00C069DB"/>
    <w:rsid w:val="00C07675"/>
    <w:rsid w:val="00C1626D"/>
    <w:rsid w:val="00C20EB6"/>
    <w:rsid w:val="00C21B0D"/>
    <w:rsid w:val="00C23FB4"/>
    <w:rsid w:val="00C2617D"/>
    <w:rsid w:val="00C27739"/>
    <w:rsid w:val="00C27C03"/>
    <w:rsid w:val="00C307EB"/>
    <w:rsid w:val="00C32813"/>
    <w:rsid w:val="00C37CD0"/>
    <w:rsid w:val="00C40BE9"/>
    <w:rsid w:val="00C434A6"/>
    <w:rsid w:val="00C444FA"/>
    <w:rsid w:val="00C447E8"/>
    <w:rsid w:val="00C45004"/>
    <w:rsid w:val="00C50B54"/>
    <w:rsid w:val="00C51097"/>
    <w:rsid w:val="00C52C68"/>
    <w:rsid w:val="00C57F03"/>
    <w:rsid w:val="00C7566C"/>
    <w:rsid w:val="00C832C9"/>
    <w:rsid w:val="00C83BBE"/>
    <w:rsid w:val="00C8404C"/>
    <w:rsid w:val="00C90CA9"/>
    <w:rsid w:val="00C9364D"/>
    <w:rsid w:val="00CA39E0"/>
    <w:rsid w:val="00CA39E6"/>
    <w:rsid w:val="00CA40FB"/>
    <w:rsid w:val="00CA646D"/>
    <w:rsid w:val="00CB3F5E"/>
    <w:rsid w:val="00CB430A"/>
    <w:rsid w:val="00CB6373"/>
    <w:rsid w:val="00CC3702"/>
    <w:rsid w:val="00CC6222"/>
    <w:rsid w:val="00CD52F0"/>
    <w:rsid w:val="00CD543F"/>
    <w:rsid w:val="00CD6DC0"/>
    <w:rsid w:val="00CE5845"/>
    <w:rsid w:val="00CE650A"/>
    <w:rsid w:val="00CF0199"/>
    <w:rsid w:val="00CF04AE"/>
    <w:rsid w:val="00CF4EDC"/>
    <w:rsid w:val="00CF6F40"/>
    <w:rsid w:val="00D00C53"/>
    <w:rsid w:val="00D01766"/>
    <w:rsid w:val="00D02787"/>
    <w:rsid w:val="00D077CF"/>
    <w:rsid w:val="00D13C30"/>
    <w:rsid w:val="00D1437C"/>
    <w:rsid w:val="00D22919"/>
    <w:rsid w:val="00D260EC"/>
    <w:rsid w:val="00D31091"/>
    <w:rsid w:val="00D3442F"/>
    <w:rsid w:val="00D3796C"/>
    <w:rsid w:val="00D44B95"/>
    <w:rsid w:val="00D51003"/>
    <w:rsid w:val="00D516D1"/>
    <w:rsid w:val="00D51A71"/>
    <w:rsid w:val="00D52F63"/>
    <w:rsid w:val="00D53C06"/>
    <w:rsid w:val="00D549B2"/>
    <w:rsid w:val="00D56561"/>
    <w:rsid w:val="00D57702"/>
    <w:rsid w:val="00D61E4F"/>
    <w:rsid w:val="00D62AFA"/>
    <w:rsid w:val="00D659A1"/>
    <w:rsid w:val="00D74498"/>
    <w:rsid w:val="00D82122"/>
    <w:rsid w:val="00D828E8"/>
    <w:rsid w:val="00D94DDF"/>
    <w:rsid w:val="00DA5651"/>
    <w:rsid w:val="00DB0DC4"/>
    <w:rsid w:val="00DB5091"/>
    <w:rsid w:val="00DB6007"/>
    <w:rsid w:val="00DB76BE"/>
    <w:rsid w:val="00DC0A18"/>
    <w:rsid w:val="00DC0FB0"/>
    <w:rsid w:val="00DC518F"/>
    <w:rsid w:val="00DE623B"/>
    <w:rsid w:val="00DF6228"/>
    <w:rsid w:val="00DF6BF9"/>
    <w:rsid w:val="00E0035A"/>
    <w:rsid w:val="00E00659"/>
    <w:rsid w:val="00E00EB3"/>
    <w:rsid w:val="00E12252"/>
    <w:rsid w:val="00E20E77"/>
    <w:rsid w:val="00E23B0F"/>
    <w:rsid w:val="00E254BA"/>
    <w:rsid w:val="00E275AE"/>
    <w:rsid w:val="00E317CB"/>
    <w:rsid w:val="00E3618D"/>
    <w:rsid w:val="00E37708"/>
    <w:rsid w:val="00E42FC0"/>
    <w:rsid w:val="00E43D76"/>
    <w:rsid w:val="00E70607"/>
    <w:rsid w:val="00E70AB2"/>
    <w:rsid w:val="00E71500"/>
    <w:rsid w:val="00E719F4"/>
    <w:rsid w:val="00E745E9"/>
    <w:rsid w:val="00E74E1C"/>
    <w:rsid w:val="00E777DC"/>
    <w:rsid w:val="00E81602"/>
    <w:rsid w:val="00E83C00"/>
    <w:rsid w:val="00E85ECF"/>
    <w:rsid w:val="00E977A1"/>
    <w:rsid w:val="00EA35E0"/>
    <w:rsid w:val="00EA7C3A"/>
    <w:rsid w:val="00EB0AC4"/>
    <w:rsid w:val="00EB425B"/>
    <w:rsid w:val="00EC1044"/>
    <w:rsid w:val="00EC2338"/>
    <w:rsid w:val="00EC52E8"/>
    <w:rsid w:val="00EC7190"/>
    <w:rsid w:val="00ED2405"/>
    <w:rsid w:val="00ED28E6"/>
    <w:rsid w:val="00EE01C0"/>
    <w:rsid w:val="00EE3832"/>
    <w:rsid w:val="00EE583E"/>
    <w:rsid w:val="00EE62C3"/>
    <w:rsid w:val="00EE7E8F"/>
    <w:rsid w:val="00EF0A09"/>
    <w:rsid w:val="00EF0CD4"/>
    <w:rsid w:val="00EF4C9D"/>
    <w:rsid w:val="00EF6F2F"/>
    <w:rsid w:val="00F00F00"/>
    <w:rsid w:val="00F01FC7"/>
    <w:rsid w:val="00F06491"/>
    <w:rsid w:val="00F11770"/>
    <w:rsid w:val="00F12FF4"/>
    <w:rsid w:val="00F16234"/>
    <w:rsid w:val="00F215F6"/>
    <w:rsid w:val="00F23579"/>
    <w:rsid w:val="00F2500B"/>
    <w:rsid w:val="00F26C1D"/>
    <w:rsid w:val="00F423E3"/>
    <w:rsid w:val="00F45010"/>
    <w:rsid w:val="00F50970"/>
    <w:rsid w:val="00F50F93"/>
    <w:rsid w:val="00F61606"/>
    <w:rsid w:val="00F61FB2"/>
    <w:rsid w:val="00F621A1"/>
    <w:rsid w:val="00F67E73"/>
    <w:rsid w:val="00F7021B"/>
    <w:rsid w:val="00F70D79"/>
    <w:rsid w:val="00F7105E"/>
    <w:rsid w:val="00F724BA"/>
    <w:rsid w:val="00F77D24"/>
    <w:rsid w:val="00F80A2E"/>
    <w:rsid w:val="00F82EEC"/>
    <w:rsid w:val="00F86043"/>
    <w:rsid w:val="00F8627B"/>
    <w:rsid w:val="00F92D6D"/>
    <w:rsid w:val="00F9401D"/>
    <w:rsid w:val="00F94BAF"/>
    <w:rsid w:val="00FA5B2D"/>
    <w:rsid w:val="00FA6558"/>
    <w:rsid w:val="00FA6602"/>
    <w:rsid w:val="00FA6A89"/>
    <w:rsid w:val="00FB4B6C"/>
    <w:rsid w:val="00FC354F"/>
    <w:rsid w:val="00FC3C7D"/>
    <w:rsid w:val="00FC7D0C"/>
    <w:rsid w:val="00FD6ABB"/>
    <w:rsid w:val="00FE0064"/>
    <w:rsid w:val="00FE1114"/>
    <w:rsid w:val="00FE703F"/>
    <w:rsid w:val="00FF14C8"/>
    <w:rsid w:val="00FF19E3"/>
    <w:rsid w:val="00FF77AD"/>
    <w:rsid w:val="057C71DF"/>
    <w:rsid w:val="07F94A32"/>
    <w:rsid w:val="0A017BA6"/>
    <w:rsid w:val="0E7E7584"/>
    <w:rsid w:val="0F6A6995"/>
    <w:rsid w:val="11995E4D"/>
    <w:rsid w:val="11D15F34"/>
    <w:rsid w:val="127E150F"/>
    <w:rsid w:val="16B70DEA"/>
    <w:rsid w:val="17E82D26"/>
    <w:rsid w:val="1A3B0C7D"/>
    <w:rsid w:val="1CA57792"/>
    <w:rsid w:val="1D2C4F01"/>
    <w:rsid w:val="1DC25F5C"/>
    <w:rsid w:val="1F370309"/>
    <w:rsid w:val="230E6761"/>
    <w:rsid w:val="23336925"/>
    <w:rsid w:val="23521709"/>
    <w:rsid w:val="26F52E0D"/>
    <w:rsid w:val="2AA445A8"/>
    <w:rsid w:val="2BFC430E"/>
    <w:rsid w:val="2F311C1E"/>
    <w:rsid w:val="2FBB72D4"/>
    <w:rsid w:val="30437658"/>
    <w:rsid w:val="33AD7ABF"/>
    <w:rsid w:val="36330D61"/>
    <w:rsid w:val="37390F0D"/>
    <w:rsid w:val="381A70FA"/>
    <w:rsid w:val="38245DBE"/>
    <w:rsid w:val="3EFCC3B8"/>
    <w:rsid w:val="478242CF"/>
    <w:rsid w:val="497801AC"/>
    <w:rsid w:val="4CC14758"/>
    <w:rsid w:val="4E3A31B8"/>
    <w:rsid w:val="4E7310FB"/>
    <w:rsid w:val="4E7570E5"/>
    <w:rsid w:val="52381150"/>
    <w:rsid w:val="52DB7DDC"/>
    <w:rsid w:val="54630176"/>
    <w:rsid w:val="5BCE38D1"/>
    <w:rsid w:val="5D7B4D2E"/>
    <w:rsid w:val="5DE6748D"/>
    <w:rsid w:val="5F036EE5"/>
    <w:rsid w:val="61FE1517"/>
    <w:rsid w:val="628A426F"/>
    <w:rsid w:val="65E61315"/>
    <w:rsid w:val="68C85638"/>
    <w:rsid w:val="6DF81DF9"/>
    <w:rsid w:val="6ED83507"/>
    <w:rsid w:val="70271C1D"/>
    <w:rsid w:val="73B2752A"/>
    <w:rsid w:val="73D44A96"/>
    <w:rsid w:val="74503AD8"/>
    <w:rsid w:val="75CD6800"/>
    <w:rsid w:val="75D80422"/>
    <w:rsid w:val="7B8D4959"/>
    <w:rsid w:val="7C227AE9"/>
    <w:rsid w:val="7CF07CE5"/>
    <w:rsid w:val="7E2A170A"/>
    <w:rsid w:val="7E7813CB"/>
    <w:rsid w:val="7F365BB5"/>
    <w:rsid w:val="B297DB14"/>
    <w:rsid w:val="BE6C9D4A"/>
    <w:rsid w:val="D7F32F9C"/>
    <w:rsid w:val="D9FDDDA6"/>
    <w:rsid w:val="EFEB8477"/>
    <w:rsid w:val="F6FA9CC9"/>
    <w:rsid w:val="FECF6E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99"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8"/>
    <w:qFormat/>
    <w:uiPriority w:val="9"/>
    <w:pPr>
      <w:widowControl/>
      <w:jc w:val="left"/>
      <w:outlineLvl w:val="0"/>
    </w:pPr>
    <w:rPr>
      <w:rFonts w:ascii="inherit" w:hAnsi="inherit" w:cs="宋体"/>
      <w:kern w:val="36"/>
      <w:sz w:val="14"/>
      <w:szCs w:val="14"/>
    </w:rPr>
  </w:style>
  <w:style w:type="paragraph" w:styleId="4">
    <w:name w:val="heading 2"/>
    <w:basedOn w:val="1"/>
    <w:next w:val="1"/>
    <w:qFormat/>
    <w:uiPriority w:val="1"/>
    <w:pPr>
      <w:ind w:left="2044"/>
      <w:outlineLvl w:val="1"/>
    </w:pPr>
    <w:rPr>
      <w:rFonts w:ascii="宋体" w:hAnsi="宋体" w:cs="宋体"/>
      <w:sz w:val="31"/>
      <w:szCs w:val="31"/>
      <w:lang w:val="zh-CN" w:bidi="zh-CN"/>
    </w:rPr>
  </w:style>
  <w:style w:type="paragraph" w:styleId="5">
    <w:name w:val="heading 3"/>
    <w:basedOn w:val="1"/>
    <w:next w:val="1"/>
    <w:qFormat/>
    <w:uiPriority w:val="1"/>
    <w:pPr>
      <w:spacing w:before="38"/>
      <w:ind w:left="120"/>
      <w:outlineLvl w:val="2"/>
    </w:pPr>
    <w:rPr>
      <w:rFonts w:ascii="宋体" w:hAnsi="宋体" w:cs="宋体"/>
      <w:sz w:val="30"/>
      <w:szCs w:val="30"/>
      <w:lang w:val="zh-CN" w:bidi="zh-CN"/>
    </w:rPr>
  </w:style>
  <w:style w:type="paragraph" w:styleId="6">
    <w:name w:val="heading 4"/>
    <w:basedOn w:val="1"/>
    <w:next w:val="1"/>
    <w:qFormat/>
    <w:uiPriority w:val="1"/>
    <w:pPr>
      <w:ind w:left="402" w:hanging="283"/>
      <w:outlineLvl w:val="3"/>
    </w:pPr>
    <w:rPr>
      <w:rFonts w:ascii="宋体" w:hAnsi="宋体" w:cs="宋体"/>
      <w:b/>
      <w:bCs/>
      <w:sz w:val="28"/>
      <w:szCs w:val="28"/>
      <w:lang w:val="zh-CN" w:bidi="zh-CN"/>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31"/>
    <w:qFormat/>
    <w:uiPriority w:val="0"/>
    <w:pPr>
      <w:ind w:firstLine="600" w:firstLineChars="200"/>
    </w:pPr>
    <w:rPr>
      <w:rFonts w:ascii="Times New Roman" w:hAnsi="Times New Roman" w:eastAsia="仿宋_GB2312"/>
      <w:sz w:val="30"/>
      <w:szCs w:val="24"/>
    </w:rPr>
  </w:style>
  <w:style w:type="paragraph" w:styleId="7">
    <w:name w:val="caption"/>
    <w:basedOn w:val="1"/>
    <w:next w:val="1"/>
    <w:semiHidden/>
    <w:unhideWhenUsed/>
    <w:qFormat/>
    <w:uiPriority w:val="35"/>
    <w:rPr>
      <w:rFonts w:eastAsia="黑体" w:asciiTheme="majorHAnsi" w:hAnsiTheme="majorHAnsi" w:cstheme="majorBidi"/>
      <w:sz w:val="20"/>
      <w:szCs w:val="20"/>
    </w:rPr>
  </w:style>
  <w:style w:type="paragraph" w:styleId="8">
    <w:name w:val="annotation text"/>
    <w:basedOn w:val="1"/>
    <w:link w:val="35"/>
    <w:semiHidden/>
    <w:unhideWhenUsed/>
    <w:qFormat/>
    <w:uiPriority w:val="99"/>
    <w:pPr>
      <w:jc w:val="left"/>
    </w:pPr>
  </w:style>
  <w:style w:type="paragraph" w:styleId="9">
    <w:name w:val="Body Text"/>
    <w:basedOn w:val="1"/>
    <w:qFormat/>
    <w:uiPriority w:val="1"/>
    <w:rPr>
      <w:rFonts w:ascii="宋体" w:hAnsi="宋体" w:cs="宋体"/>
      <w:sz w:val="28"/>
      <w:szCs w:val="28"/>
      <w:lang w:val="zh-CN" w:bidi="zh-CN"/>
    </w:rPr>
  </w:style>
  <w:style w:type="paragraph" w:styleId="10">
    <w:name w:val="Plain Text"/>
    <w:basedOn w:val="1"/>
    <w:link w:val="25"/>
    <w:unhideWhenUsed/>
    <w:qFormat/>
    <w:uiPriority w:val="99"/>
    <w:rPr>
      <w:rFonts w:ascii="宋体" w:hAnsi="Courier New"/>
      <w:kern w:val="0"/>
      <w:sz w:val="20"/>
      <w:szCs w:val="20"/>
    </w:rPr>
  </w:style>
  <w:style w:type="paragraph" w:styleId="11">
    <w:name w:val="Body Text Indent 2"/>
    <w:basedOn w:val="1"/>
    <w:link w:val="37"/>
    <w:qFormat/>
    <w:uiPriority w:val="0"/>
    <w:pPr>
      <w:spacing w:after="120" w:line="480" w:lineRule="auto"/>
      <w:ind w:left="420" w:leftChars="200"/>
    </w:pPr>
    <w:rPr>
      <w:szCs w:val="24"/>
    </w:rPr>
  </w:style>
  <w:style w:type="paragraph" w:styleId="12">
    <w:name w:val="Balloon Text"/>
    <w:basedOn w:val="1"/>
    <w:link w:val="34"/>
    <w:semiHidden/>
    <w:unhideWhenUsed/>
    <w:qFormat/>
    <w:uiPriority w:val="99"/>
    <w:rPr>
      <w:sz w:val="18"/>
      <w:szCs w:val="18"/>
    </w:rPr>
  </w:style>
  <w:style w:type="paragraph" w:styleId="13">
    <w:name w:val="footer"/>
    <w:basedOn w:val="1"/>
    <w:link w:val="28"/>
    <w:unhideWhenUsed/>
    <w:qFormat/>
    <w:uiPriority w:val="99"/>
    <w:pPr>
      <w:tabs>
        <w:tab w:val="center" w:pos="4153"/>
        <w:tab w:val="right" w:pos="8306"/>
      </w:tabs>
      <w:snapToGrid w:val="0"/>
      <w:jc w:val="left"/>
    </w:pPr>
    <w:rPr>
      <w:sz w:val="18"/>
      <w:szCs w:val="18"/>
    </w:rPr>
  </w:style>
  <w:style w:type="paragraph" w:styleId="14">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link w:val="33"/>
    <w:unhideWhenUsed/>
    <w:qFormat/>
    <w:uiPriority w:val="99"/>
    <w:pPr>
      <w:spacing w:after="120"/>
      <w:ind w:left="420" w:leftChars="200"/>
    </w:pPr>
    <w:rPr>
      <w:sz w:val="16"/>
      <w:szCs w:val="16"/>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7">
    <w:name w:val="annotation subject"/>
    <w:basedOn w:val="8"/>
    <w:next w:val="8"/>
    <w:link w:val="36"/>
    <w:semiHidden/>
    <w:unhideWhenUsed/>
    <w:qFormat/>
    <w:uiPriority w:val="99"/>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Emphasis"/>
    <w:basedOn w:val="20"/>
    <w:qFormat/>
    <w:uiPriority w:val="20"/>
    <w:rPr>
      <w:i/>
      <w:iCs/>
    </w:rPr>
  </w:style>
  <w:style w:type="character" w:styleId="23">
    <w:name w:val="Hyperlink"/>
    <w:qFormat/>
    <w:uiPriority w:val="0"/>
    <w:rPr>
      <w:color w:val="0000FF"/>
      <w:u w:val="single"/>
    </w:rPr>
  </w:style>
  <w:style w:type="character" w:styleId="24">
    <w:name w:val="annotation reference"/>
    <w:basedOn w:val="20"/>
    <w:semiHidden/>
    <w:unhideWhenUsed/>
    <w:qFormat/>
    <w:uiPriority w:val="99"/>
    <w:rPr>
      <w:sz w:val="21"/>
      <w:szCs w:val="21"/>
    </w:rPr>
  </w:style>
  <w:style w:type="character" w:customStyle="1" w:styleId="25">
    <w:name w:val="纯文本 Char"/>
    <w:basedOn w:val="20"/>
    <w:link w:val="10"/>
    <w:qFormat/>
    <w:uiPriority w:val="99"/>
    <w:rPr>
      <w:rFonts w:ascii="宋体" w:hAnsi="Courier New" w:eastAsia="宋体" w:cs="Times New Roman"/>
      <w:kern w:val="0"/>
      <w:sz w:val="20"/>
      <w:szCs w:val="20"/>
    </w:rPr>
  </w:style>
  <w:style w:type="paragraph" w:customStyle="1" w:styleId="26">
    <w:name w:val="列出段落1"/>
    <w:basedOn w:val="1"/>
    <w:qFormat/>
    <w:uiPriority w:val="34"/>
    <w:pPr>
      <w:ind w:firstLine="420" w:firstLineChars="200"/>
    </w:pPr>
  </w:style>
  <w:style w:type="character" w:customStyle="1" w:styleId="27">
    <w:name w:val="页眉 Char"/>
    <w:basedOn w:val="20"/>
    <w:link w:val="14"/>
    <w:semiHidden/>
    <w:qFormat/>
    <w:uiPriority w:val="99"/>
    <w:rPr>
      <w:rFonts w:ascii="Calibri" w:hAnsi="Calibri" w:eastAsia="宋体" w:cs="Times New Roman"/>
      <w:sz w:val="18"/>
      <w:szCs w:val="18"/>
    </w:rPr>
  </w:style>
  <w:style w:type="character" w:customStyle="1" w:styleId="28">
    <w:name w:val="页脚 Char"/>
    <w:basedOn w:val="20"/>
    <w:link w:val="13"/>
    <w:qFormat/>
    <w:uiPriority w:val="99"/>
    <w:rPr>
      <w:rFonts w:ascii="Calibri" w:hAnsi="Calibri" w:eastAsia="宋体" w:cs="Times New Roman"/>
      <w:sz w:val="18"/>
      <w:szCs w:val="18"/>
    </w:rPr>
  </w:style>
  <w:style w:type="paragraph" w:styleId="29">
    <w:name w:val="List Paragraph"/>
    <w:basedOn w:val="1"/>
    <w:qFormat/>
    <w:uiPriority w:val="99"/>
    <w:pPr>
      <w:ind w:firstLine="420" w:firstLineChars="200"/>
    </w:pPr>
  </w:style>
  <w:style w:type="paragraph" w:customStyle="1" w:styleId="3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31">
    <w:name w:val="正文文本缩进 Char"/>
    <w:basedOn w:val="20"/>
    <w:link w:val="2"/>
    <w:qFormat/>
    <w:uiPriority w:val="0"/>
    <w:rPr>
      <w:rFonts w:ascii="Times New Roman" w:hAnsi="Times New Roman" w:eastAsia="仿宋_GB2312" w:cs="Times New Roman"/>
      <w:sz w:val="30"/>
      <w:szCs w:val="24"/>
    </w:rPr>
  </w:style>
  <w:style w:type="character" w:customStyle="1" w:styleId="32">
    <w:name w:val="页眉 字符"/>
    <w:qFormat/>
    <w:uiPriority w:val="0"/>
    <w:rPr>
      <w:kern w:val="2"/>
      <w:sz w:val="18"/>
      <w:szCs w:val="18"/>
    </w:rPr>
  </w:style>
  <w:style w:type="character" w:customStyle="1" w:styleId="33">
    <w:name w:val="正文文本缩进 3 Char"/>
    <w:basedOn w:val="20"/>
    <w:link w:val="15"/>
    <w:qFormat/>
    <w:uiPriority w:val="99"/>
    <w:rPr>
      <w:rFonts w:ascii="Calibri" w:hAnsi="Calibri" w:eastAsia="宋体" w:cs="Times New Roman"/>
      <w:sz w:val="16"/>
      <w:szCs w:val="16"/>
    </w:rPr>
  </w:style>
  <w:style w:type="character" w:customStyle="1" w:styleId="34">
    <w:name w:val="批注框文本 Char"/>
    <w:basedOn w:val="20"/>
    <w:link w:val="12"/>
    <w:semiHidden/>
    <w:qFormat/>
    <w:uiPriority w:val="99"/>
    <w:rPr>
      <w:rFonts w:ascii="Calibri" w:hAnsi="Calibri" w:eastAsia="宋体" w:cs="Times New Roman"/>
      <w:sz w:val="18"/>
      <w:szCs w:val="18"/>
    </w:rPr>
  </w:style>
  <w:style w:type="character" w:customStyle="1" w:styleId="35">
    <w:name w:val="批注文字 Char"/>
    <w:basedOn w:val="20"/>
    <w:link w:val="8"/>
    <w:semiHidden/>
    <w:qFormat/>
    <w:uiPriority w:val="99"/>
    <w:rPr>
      <w:rFonts w:ascii="Calibri" w:hAnsi="Calibri" w:eastAsia="宋体" w:cs="Times New Roman"/>
    </w:rPr>
  </w:style>
  <w:style w:type="character" w:customStyle="1" w:styleId="36">
    <w:name w:val="批注主题 Char"/>
    <w:basedOn w:val="35"/>
    <w:link w:val="17"/>
    <w:semiHidden/>
    <w:qFormat/>
    <w:uiPriority w:val="99"/>
    <w:rPr>
      <w:rFonts w:ascii="Calibri" w:hAnsi="Calibri" w:eastAsia="宋体" w:cs="Times New Roman"/>
      <w:b/>
      <w:bCs/>
    </w:rPr>
  </w:style>
  <w:style w:type="character" w:customStyle="1" w:styleId="37">
    <w:name w:val="正文文本缩进 2 Char"/>
    <w:basedOn w:val="20"/>
    <w:link w:val="11"/>
    <w:qFormat/>
    <w:uiPriority w:val="0"/>
    <w:rPr>
      <w:rFonts w:ascii="Calibri" w:hAnsi="Calibri" w:eastAsia="宋体" w:cs="Times New Roman"/>
      <w:kern w:val="2"/>
      <w:sz w:val="21"/>
      <w:szCs w:val="24"/>
    </w:rPr>
  </w:style>
  <w:style w:type="character" w:customStyle="1" w:styleId="38">
    <w:name w:val="标题 1 Char"/>
    <w:basedOn w:val="20"/>
    <w:link w:val="3"/>
    <w:qFormat/>
    <w:uiPriority w:val="9"/>
    <w:rPr>
      <w:rFonts w:ascii="inherit" w:hAnsi="inherit" w:eastAsia="宋体" w:cs="宋体"/>
      <w:kern w:val="36"/>
      <w:sz w:val="14"/>
      <w:szCs w:val="14"/>
    </w:rPr>
  </w:style>
  <w:style w:type="character" w:customStyle="1" w:styleId="39">
    <w:name w:val="e6ixj9n97"/>
    <w:basedOn w:val="20"/>
    <w:qFormat/>
    <w:uiPriority w:val="0"/>
  </w:style>
  <w:style w:type="character" w:customStyle="1" w:styleId="40">
    <w:name w:val="q50c6553"/>
    <w:basedOn w:val="20"/>
    <w:qFormat/>
    <w:uiPriority w:val="0"/>
  </w:style>
  <w:style w:type="character" w:customStyle="1" w:styleId="41">
    <w:name w:val="gac6pb8537y"/>
    <w:basedOn w:val="20"/>
    <w:qFormat/>
    <w:uiPriority w:val="0"/>
  </w:style>
  <w:style w:type="character" w:customStyle="1" w:styleId="42">
    <w:name w:val="uqz6n789ag1"/>
    <w:basedOn w:val="2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1224</Words>
  <Characters>1563</Characters>
  <Lines>12</Lines>
  <Paragraphs>3</Paragraphs>
  <TotalTime>7</TotalTime>
  <ScaleCrop>false</ScaleCrop>
  <LinksUpToDate>false</LinksUpToDate>
  <CharactersWithSpaces>1601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2023-03-18T11:43:00Z</dcterms:created>
  <dc:creator>Windows 用户</dc:creator>
  <cp:lastModifiedBy>暖阳</cp:lastModifiedBy>
  <cp:lastPrinted>2020-04-09T15:37:00Z</cp:lastPrinted>
  <dcterms:modified xsi:type="dcterms:W3CDTF">2023-07-20T08:41:49Z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SaveFontToCloudKey">
    <vt:lpwstr>255004054_btnclosed</vt:lpwstr>
  </property>
  <property fmtid="{D5CDD505-2E9C-101B-9397-08002B2CF9AE}" pid="4" name="ICV">
    <vt:lpwstr>6E3A226AD8554D5BBA2F46B57552E41F_13</vt:lpwstr>
  </property>
</Properties>
</file>