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eastAsia="方正小标宋简体"/>
          <w:color w:val="auto"/>
          <w:sz w:val="32"/>
          <w:szCs w:val="32"/>
        </w:rPr>
      </w:pPr>
      <w:bookmarkStart w:id="1" w:name="_GoBack"/>
      <w:r>
        <w:rPr>
          <w:rFonts w:hint="eastAsia" w:ascii="方正小标宋_GBK" w:hAnsi="方正小标宋_GBK" w:eastAsia="方正小标宋_GBK" w:cs="方正小标宋_GBK"/>
          <w:color w:val="auto"/>
          <w:sz w:val="32"/>
          <w:szCs w:val="32"/>
        </w:rPr>
        <w:t>2023年河北省</w:t>
      </w:r>
      <w:r>
        <w:rPr>
          <w:rFonts w:hint="eastAsia" w:eastAsia="方正小标宋简体"/>
          <w:color w:val="auto"/>
          <w:sz w:val="32"/>
          <w:szCs w:val="32"/>
        </w:rPr>
        <w:t>建筑用外墙涂料产品质量监督抽查实施细则</w:t>
      </w:r>
    </w:p>
    <w:bookmarkEnd w:id="1"/>
    <w:p>
      <w:pPr>
        <w:adjustRightInd w:val="0"/>
        <w:snapToGrid w:val="0"/>
        <w:spacing w:before="312" w:beforeLines="100" w:after="312" w:afterLines="100" w:line="440" w:lineRule="exact"/>
        <w:rPr>
          <w:rFonts w:eastAsia="黑体"/>
          <w:color w:val="auto"/>
          <w:szCs w:val="21"/>
        </w:rPr>
      </w:pPr>
      <w:r>
        <w:rPr>
          <w:rFonts w:hint="eastAsia" w:eastAsia="黑体"/>
          <w:color w:val="auto"/>
          <w:szCs w:val="21"/>
        </w:rPr>
        <w:t>1 抽样方法</w:t>
      </w:r>
    </w:p>
    <w:p>
      <w:pPr>
        <w:adjustRightInd w:val="0"/>
        <w:snapToGrid w:val="0"/>
        <w:spacing w:line="440" w:lineRule="exact"/>
        <w:ind w:firstLine="420" w:firstLineChars="200"/>
        <w:rPr>
          <w:rFonts w:hint="eastAsia"/>
          <w:color w:val="auto"/>
          <w:szCs w:val="21"/>
        </w:rPr>
      </w:pPr>
      <w:r>
        <w:rPr>
          <w:rFonts w:hint="eastAsia"/>
          <w:color w:val="auto"/>
          <w:szCs w:val="21"/>
        </w:rPr>
        <w:t>以随机抽样的方式抽取检验样品和备用样品</w:t>
      </w:r>
      <w:r>
        <w:rPr>
          <w:rFonts w:hint="eastAsia" w:ascii="宋体" w:hAnsi="宋体" w:cs="宋体"/>
          <w:color w:val="auto"/>
          <w:szCs w:val="21"/>
        </w:rPr>
        <w:t>。</w:t>
      </w:r>
    </w:p>
    <w:p>
      <w:pPr>
        <w:snapToGrid w:val="0"/>
        <w:spacing w:line="44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抽取2份样品，</w:t>
      </w:r>
      <w:r>
        <w:rPr>
          <w:rFonts w:hint="eastAsia" w:asciiTheme="minorEastAsia" w:hAnsiTheme="minorEastAsia" w:eastAsiaTheme="minorEastAsia" w:cstheme="minorEastAsia"/>
          <w:color w:val="auto"/>
        </w:rPr>
        <w:t>每份不少于3kg，</w:t>
      </w:r>
      <w:r>
        <w:rPr>
          <w:rFonts w:hint="eastAsia" w:asciiTheme="minorEastAsia" w:hAnsiTheme="minorEastAsia" w:eastAsiaTheme="minorEastAsia" w:cstheme="minorEastAsia"/>
          <w:color w:val="auto"/>
          <w:szCs w:val="21"/>
        </w:rPr>
        <w:t>一份为检验样品，一份为备用样品。</w:t>
      </w:r>
      <w:r>
        <w:rPr>
          <w:rFonts w:hint="eastAsia" w:asciiTheme="minorEastAsia" w:hAnsiTheme="minorEastAsia" w:eastAsiaTheme="minorEastAsia" w:cstheme="minorEastAsia"/>
          <w:color w:val="auto"/>
        </w:rPr>
        <w:t>当独立包装产品不大于5L或7.5kg时，应尽量整包装抽取，避免分装。</w:t>
      </w:r>
    </w:p>
    <w:p>
      <w:pPr>
        <w:adjustRightInd w:val="0"/>
        <w:snapToGrid w:val="0"/>
        <w:spacing w:line="440" w:lineRule="exact"/>
        <w:ind w:firstLine="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独立的底漆或中涂漆不在本次抽查范围内，如需配套底漆和/或中涂漆，</w:t>
      </w:r>
      <w:r>
        <w:rPr>
          <w:rFonts w:hint="eastAsia" w:asciiTheme="minorEastAsia" w:hAnsiTheme="minorEastAsia" w:eastAsiaTheme="minorEastAsia" w:cstheme="minorEastAsia"/>
          <w:color w:val="auto"/>
        </w:rPr>
        <w:t>抽取底漆和/或中涂漆各2份，每份不少于0.5kg，一份为检验样品，一份为备用样品。</w:t>
      </w:r>
    </w:p>
    <w:p>
      <w:pPr>
        <w:adjustRightInd w:val="0"/>
        <w:snapToGrid w:val="0"/>
        <w:spacing w:before="312" w:beforeLines="100" w:after="312" w:afterLines="100" w:line="440" w:lineRule="exact"/>
        <w:rPr>
          <w:rFonts w:hint="eastAsia" w:eastAsia="黑体"/>
          <w:color w:val="auto"/>
          <w:szCs w:val="21"/>
        </w:rPr>
      </w:pPr>
      <w:r>
        <w:rPr>
          <w:rFonts w:hint="eastAsia" w:eastAsia="黑体"/>
          <w:color w:val="auto"/>
          <w:szCs w:val="21"/>
        </w:rPr>
        <w:t>2 抽查产品名称及执行标准</w:t>
      </w:r>
    </w:p>
    <w:p>
      <w:pPr>
        <w:adjustRightInd w:val="0"/>
        <w:snapToGrid w:val="0"/>
        <w:spacing w:line="440" w:lineRule="exact"/>
        <w:jc w:val="center"/>
        <w:rPr>
          <w:rFonts w:hint="eastAsia"/>
          <w:color w:val="auto"/>
          <w:szCs w:val="21"/>
        </w:rPr>
      </w:pPr>
      <w:r>
        <w:rPr>
          <w:rFonts w:hint="eastAsia" w:ascii="宋体" w:hAnsi="宋体" w:cs="宋体"/>
          <w:color w:val="auto"/>
          <w:szCs w:val="21"/>
        </w:rPr>
        <w:t>表1 产品名称及执行标准</w:t>
      </w:r>
    </w:p>
    <w:tbl>
      <w:tblPr>
        <w:tblStyle w:val="5"/>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2379"/>
        <w:gridCol w:w="2498"/>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90"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序号</w:t>
            </w:r>
          </w:p>
        </w:tc>
        <w:tc>
          <w:tcPr>
            <w:tcW w:w="2379"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产品名称</w:t>
            </w:r>
          </w:p>
        </w:tc>
        <w:tc>
          <w:tcPr>
            <w:tcW w:w="2498"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标准编号</w:t>
            </w:r>
          </w:p>
        </w:tc>
        <w:tc>
          <w:tcPr>
            <w:tcW w:w="3431"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690"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2379"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建筑用外墙涂料</w:t>
            </w:r>
          </w:p>
        </w:tc>
        <w:tc>
          <w:tcPr>
            <w:tcW w:w="2498"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GB/T 9755-2014</w:t>
            </w:r>
          </w:p>
          <w:p>
            <w:pPr>
              <w:adjustRightInd w:val="0"/>
              <w:snapToGrid w:val="0"/>
              <w:spacing w:line="300" w:lineRule="exact"/>
              <w:jc w:val="center"/>
              <w:rPr>
                <w:rFonts w:hint="eastAsia" w:ascii="宋体" w:hAnsi="宋体" w:cs="宋体"/>
                <w:color w:val="auto"/>
                <w:szCs w:val="21"/>
              </w:rPr>
            </w:pPr>
            <w:r>
              <w:rPr>
                <w:rFonts w:ascii="宋体" w:hAnsi="宋体" w:cs="宋体"/>
                <w:color w:val="auto"/>
                <w:szCs w:val="21"/>
              </w:rPr>
              <w:t>GB 18582—2020</w:t>
            </w:r>
          </w:p>
        </w:tc>
        <w:tc>
          <w:tcPr>
            <w:tcW w:w="3431"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合成树脂乳液外墙涂料</w:t>
            </w:r>
          </w:p>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建筑用墙面涂料中有害物质限量</w:t>
            </w:r>
          </w:p>
        </w:tc>
      </w:tr>
    </w:tbl>
    <w:p>
      <w:pPr>
        <w:adjustRightInd w:val="0"/>
        <w:snapToGrid w:val="0"/>
        <w:spacing w:before="312" w:beforeLines="100" w:after="312" w:afterLines="100" w:line="440" w:lineRule="exact"/>
        <w:rPr>
          <w:rFonts w:hint="eastAsia" w:eastAsia="黑体"/>
          <w:color w:val="auto"/>
          <w:szCs w:val="21"/>
        </w:rPr>
      </w:pPr>
      <w:r>
        <w:rPr>
          <w:rFonts w:hint="eastAsia" w:eastAsia="黑体"/>
          <w:color w:val="auto"/>
          <w:szCs w:val="21"/>
        </w:rPr>
        <w:t>3 检验依据</w:t>
      </w:r>
    </w:p>
    <w:p>
      <w:pPr>
        <w:adjustRightInd w:val="0"/>
        <w:snapToGrid w:val="0"/>
        <w:spacing w:line="440" w:lineRule="exact"/>
        <w:jc w:val="center"/>
        <w:rPr>
          <w:rFonts w:hint="eastAsia" w:eastAsia="黑体"/>
          <w:color w:val="auto"/>
          <w:szCs w:val="21"/>
        </w:rPr>
      </w:pPr>
      <w:r>
        <w:rPr>
          <w:rFonts w:hint="eastAsia" w:ascii="宋体" w:hAnsi="宋体" w:cs="宋体"/>
          <w:color w:val="auto"/>
          <w:szCs w:val="21"/>
        </w:rPr>
        <w:t>表2 检验项目及依据</w:t>
      </w:r>
    </w:p>
    <w:tbl>
      <w:tblPr>
        <w:tblStyle w:val="5"/>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777"/>
        <w:gridCol w:w="2935"/>
        <w:gridCol w:w="2096"/>
        <w:gridCol w:w="1008"/>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blHeader/>
          <w:jc w:val="center"/>
        </w:trPr>
        <w:tc>
          <w:tcPr>
            <w:tcW w:w="604"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分类</w:t>
            </w: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序号</w:t>
            </w:r>
          </w:p>
        </w:tc>
        <w:tc>
          <w:tcPr>
            <w:tcW w:w="1624"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检验项目</w:t>
            </w:r>
          </w:p>
        </w:tc>
        <w:tc>
          <w:tcPr>
            <w:tcW w:w="1160"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检验方法</w:t>
            </w:r>
          </w:p>
        </w:tc>
        <w:tc>
          <w:tcPr>
            <w:tcW w:w="558" w:type="pct"/>
            <w:noWrap w:val="0"/>
            <w:vAlign w:val="center"/>
          </w:tcPr>
          <w:p>
            <w:pPr>
              <w:widowControl/>
              <w:spacing w:line="280" w:lineRule="exact"/>
              <w:jc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重要程度分级</w:t>
            </w:r>
          </w:p>
        </w:tc>
        <w:tc>
          <w:tcPr>
            <w:tcW w:w="621" w:type="pct"/>
            <w:noWrap w:val="0"/>
            <w:vAlign w:val="center"/>
          </w:tcPr>
          <w:p>
            <w:pPr>
              <w:widowControl/>
              <w:spacing w:line="280" w:lineRule="exact"/>
              <w:jc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是否为环保指标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restar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lang w:eastAsia="zh-CN"/>
              </w:rPr>
            </w:pPr>
            <w:r>
              <w:rPr>
                <w:rFonts w:hint="eastAsia" w:asciiTheme="minorEastAsia" w:hAnsiTheme="minorEastAsia" w:eastAsiaTheme="minorEastAsia" w:cstheme="minorEastAsia"/>
                <w:bCs/>
                <w:color w:val="auto"/>
                <w:sz w:val="21"/>
                <w:szCs w:val="21"/>
              </w:rPr>
              <w:t>安全性</w:t>
            </w:r>
            <w:r>
              <w:rPr>
                <w:rFonts w:hint="eastAsia" w:asciiTheme="minorEastAsia" w:hAnsiTheme="minorEastAsia" w:eastAsiaTheme="minorEastAsia" w:cstheme="minorEastAsia"/>
                <w:bCs/>
                <w:color w:val="auto"/>
                <w:sz w:val="21"/>
                <w:szCs w:val="21"/>
                <w:lang w:eastAsia="zh-CN"/>
              </w:rPr>
              <w:t>能</w:t>
            </w: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1624"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VOC含量</w:t>
            </w:r>
          </w:p>
        </w:tc>
        <w:tc>
          <w:tcPr>
            <w:tcW w:w="1160" w:type="pct"/>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 18582—2020</w:t>
            </w:r>
          </w:p>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23986—2009</w:t>
            </w:r>
          </w:p>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6750—2007</w:t>
            </w:r>
          </w:p>
        </w:tc>
        <w:tc>
          <w:tcPr>
            <w:tcW w:w="55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A</w:t>
            </w:r>
          </w:p>
        </w:tc>
        <w:tc>
          <w:tcPr>
            <w:tcW w:w="621"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1624"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甲醛含量</w:t>
            </w:r>
          </w:p>
        </w:tc>
        <w:tc>
          <w:tcPr>
            <w:tcW w:w="1160"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23993—2009</w:t>
            </w:r>
          </w:p>
        </w:tc>
        <w:tc>
          <w:tcPr>
            <w:tcW w:w="55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A</w:t>
            </w:r>
          </w:p>
        </w:tc>
        <w:tc>
          <w:tcPr>
            <w:tcW w:w="621"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p>
        </w:tc>
        <w:tc>
          <w:tcPr>
            <w:tcW w:w="1624"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苯系物总和含量[限苯、甲苯、二甲苯（含乙苯）]</w:t>
            </w:r>
          </w:p>
        </w:tc>
        <w:tc>
          <w:tcPr>
            <w:tcW w:w="1160" w:type="pct"/>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23990—2009（B法）</w:t>
            </w:r>
          </w:p>
        </w:tc>
        <w:tc>
          <w:tcPr>
            <w:tcW w:w="55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A</w:t>
            </w:r>
          </w:p>
        </w:tc>
        <w:tc>
          <w:tcPr>
            <w:tcW w:w="621"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p>
        </w:tc>
        <w:tc>
          <w:tcPr>
            <w:tcW w:w="1624"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总铅含量 (限色漆)</w:t>
            </w:r>
          </w:p>
        </w:tc>
        <w:tc>
          <w:tcPr>
            <w:tcW w:w="1160"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30647—2014</w:t>
            </w:r>
          </w:p>
        </w:tc>
        <w:tc>
          <w:tcPr>
            <w:tcW w:w="55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A</w:t>
            </w:r>
          </w:p>
        </w:tc>
        <w:tc>
          <w:tcPr>
            <w:tcW w:w="621"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p>
        </w:tc>
        <w:tc>
          <w:tcPr>
            <w:tcW w:w="1624" w:type="pct"/>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可溶性重金属含量</w:t>
            </w:r>
          </w:p>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（镉、铬、汞） (限色漆)</w:t>
            </w:r>
          </w:p>
        </w:tc>
        <w:tc>
          <w:tcPr>
            <w:tcW w:w="1160"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23991—2009</w:t>
            </w:r>
          </w:p>
        </w:tc>
        <w:tc>
          <w:tcPr>
            <w:tcW w:w="55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A</w:t>
            </w:r>
          </w:p>
        </w:tc>
        <w:tc>
          <w:tcPr>
            <w:tcW w:w="621"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p>
        </w:tc>
        <w:tc>
          <w:tcPr>
            <w:tcW w:w="1624" w:type="pct"/>
            <w:noWrap w:val="0"/>
            <w:vAlign w:val="center"/>
          </w:tcPr>
          <w:p>
            <w:pPr>
              <w:jc w:val="center"/>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sz w:val="21"/>
                <w:szCs w:val="21"/>
              </w:rPr>
              <w:t>烷基酚聚氧乙烯醚总和含量{限辛基酚聚氧乙烯醚[C</w:t>
            </w:r>
            <w:r>
              <w:rPr>
                <w:rFonts w:hint="eastAsia" w:asciiTheme="minorEastAsia" w:hAnsiTheme="minorEastAsia" w:eastAsiaTheme="minorEastAsia" w:cstheme="minorEastAsia"/>
                <w:color w:val="auto"/>
                <w:sz w:val="21"/>
                <w:szCs w:val="21"/>
                <w:vertAlign w:val="subscript"/>
              </w:rPr>
              <w:t>8</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17</w:t>
            </w:r>
            <w:r>
              <w:rPr>
                <w:rFonts w:hint="eastAsia" w:asciiTheme="minorEastAsia" w:hAnsiTheme="minorEastAsia" w:eastAsiaTheme="minorEastAsia" w:cstheme="minorEastAsia"/>
                <w:color w:val="auto"/>
                <w:sz w:val="21"/>
                <w:szCs w:val="21"/>
              </w:rPr>
              <w:t>-C</w:t>
            </w:r>
            <w:r>
              <w:rPr>
                <w:rFonts w:hint="eastAsia" w:asciiTheme="minorEastAsia" w:hAnsiTheme="minorEastAsia" w:eastAsiaTheme="minorEastAsia" w:cstheme="minorEastAsia"/>
                <w:color w:val="auto"/>
                <w:sz w:val="21"/>
                <w:szCs w:val="21"/>
                <w:vertAlign w:val="subscript"/>
              </w:rPr>
              <w:t>6</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4</w:t>
            </w:r>
            <w:r>
              <w:rPr>
                <w:rFonts w:hint="eastAsia" w:asciiTheme="minorEastAsia" w:hAnsiTheme="minorEastAsia" w:eastAsiaTheme="minorEastAsia" w:cstheme="minorEastAsia"/>
                <w:color w:val="auto"/>
                <w:sz w:val="21"/>
                <w:szCs w:val="21"/>
              </w:rPr>
              <w:t>-(OC</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4</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vertAlign w:val="subscript"/>
              </w:rPr>
              <w:t>n</w:t>
            </w:r>
            <w:r>
              <w:rPr>
                <w:rFonts w:hint="eastAsia" w:asciiTheme="minorEastAsia" w:hAnsiTheme="minorEastAsia" w:eastAsiaTheme="minorEastAsia" w:cstheme="minorEastAsia"/>
                <w:color w:val="auto"/>
                <w:sz w:val="21"/>
                <w:szCs w:val="21"/>
              </w:rPr>
              <w:t>OH,简称OP</w:t>
            </w:r>
            <w:r>
              <w:rPr>
                <w:rFonts w:hint="eastAsia" w:asciiTheme="minorEastAsia" w:hAnsiTheme="minorEastAsia" w:eastAsiaTheme="minorEastAsia" w:cstheme="minorEastAsia"/>
                <w:color w:val="auto"/>
                <w:sz w:val="21"/>
                <w:szCs w:val="21"/>
                <w:vertAlign w:val="subscript"/>
              </w:rPr>
              <w:t>n</w:t>
            </w:r>
            <w:r>
              <w:rPr>
                <w:rFonts w:hint="eastAsia" w:asciiTheme="minorEastAsia" w:hAnsiTheme="minorEastAsia" w:eastAsiaTheme="minorEastAsia" w:cstheme="minorEastAsia"/>
                <w:color w:val="auto"/>
                <w:sz w:val="21"/>
                <w:szCs w:val="21"/>
              </w:rPr>
              <w:t>EO]和壬基酚聚氧乙烯醚[C</w:t>
            </w:r>
            <w:r>
              <w:rPr>
                <w:rFonts w:hint="eastAsia" w:asciiTheme="minorEastAsia" w:hAnsiTheme="minorEastAsia" w:eastAsiaTheme="minorEastAsia" w:cstheme="minorEastAsia"/>
                <w:color w:val="auto"/>
                <w:sz w:val="21"/>
                <w:szCs w:val="21"/>
                <w:vertAlign w:val="subscript"/>
              </w:rPr>
              <w:t>9</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19</w:t>
            </w:r>
            <w:r>
              <w:rPr>
                <w:rFonts w:hint="eastAsia" w:asciiTheme="minorEastAsia" w:hAnsiTheme="minorEastAsia" w:eastAsiaTheme="minorEastAsia" w:cstheme="minorEastAsia"/>
                <w:color w:val="auto"/>
                <w:sz w:val="21"/>
                <w:szCs w:val="21"/>
              </w:rPr>
              <w:t>-C</w:t>
            </w:r>
            <w:r>
              <w:rPr>
                <w:rFonts w:hint="eastAsia" w:asciiTheme="minorEastAsia" w:hAnsiTheme="minorEastAsia" w:eastAsiaTheme="minorEastAsia" w:cstheme="minorEastAsia"/>
                <w:color w:val="auto"/>
                <w:sz w:val="21"/>
                <w:szCs w:val="21"/>
                <w:vertAlign w:val="subscript"/>
              </w:rPr>
              <w:t>6</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4</w:t>
            </w:r>
            <w:r>
              <w:rPr>
                <w:rFonts w:hint="eastAsia" w:asciiTheme="minorEastAsia" w:hAnsiTheme="minorEastAsia" w:eastAsiaTheme="minorEastAsia" w:cstheme="minorEastAsia"/>
                <w:color w:val="auto"/>
                <w:sz w:val="21"/>
                <w:szCs w:val="21"/>
              </w:rPr>
              <w:t>-(OC</w:t>
            </w:r>
            <w:r>
              <w:rPr>
                <w:rFonts w:hint="eastAsia" w:asciiTheme="minorEastAsia" w:hAnsiTheme="minorEastAsia" w:eastAsiaTheme="minorEastAsia" w:cstheme="minorEastAsia"/>
                <w:color w:val="auto"/>
                <w:sz w:val="21"/>
                <w:szCs w:val="21"/>
                <w:vertAlign w:val="subscript"/>
              </w:rPr>
              <w:t>2</w:t>
            </w:r>
            <w:r>
              <w:rPr>
                <w:rFonts w:hint="eastAsia" w:asciiTheme="minorEastAsia" w:hAnsiTheme="minorEastAsia" w:eastAsiaTheme="minorEastAsia" w:cstheme="minorEastAsia"/>
                <w:color w:val="auto"/>
                <w:sz w:val="21"/>
                <w:szCs w:val="21"/>
              </w:rPr>
              <w:t>H</w:t>
            </w:r>
            <w:r>
              <w:rPr>
                <w:rFonts w:hint="eastAsia" w:asciiTheme="minorEastAsia" w:hAnsiTheme="minorEastAsia" w:eastAsiaTheme="minorEastAsia" w:cstheme="minorEastAsia"/>
                <w:color w:val="auto"/>
                <w:sz w:val="21"/>
                <w:szCs w:val="21"/>
                <w:vertAlign w:val="subscript"/>
              </w:rPr>
              <w:t>4</w:t>
            </w:r>
            <w:r>
              <w:rPr>
                <w:rFonts w:hint="eastAsia"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vertAlign w:val="subscript"/>
              </w:rPr>
              <w:t>n</w:t>
            </w:r>
            <w:r>
              <w:rPr>
                <w:rFonts w:hint="eastAsia" w:asciiTheme="minorEastAsia" w:hAnsiTheme="minorEastAsia" w:eastAsiaTheme="minorEastAsia" w:cstheme="minorEastAsia"/>
                <w:color w:val="auto"/>
                <w:sz w:val="21"/>
                <w:szCs w:val="21"/>
              </w:rPr>
              <w:t>OH,简称NP</w:t>
            </w:r>
            <w:r>
              <w:rPr>
                <w:rFonts w:hint="eastAsia" w:asciiTheme="minorEastAsia" w:hAnsiTheme="minorEastAsia" w:eastAsiaTheme="minorEastAsia" w:cstheme="minorEastAsia"/>
                <w:color w:val="auto"/>
                <w:sz w:val="21"/>
                <w:szCs w:val="21"/>
                <w:vertAlign w:val="subscript"/>
              </w:rPr>
              <w:t>n</w:t>
            </w:r>
            <w:r>
              <w:rPr>
                <w:rFonts w:hint="eastAsia" w:asciiTheme="minorEastAsia" w:hAnsiTheme="minorEastAsia" w:eastAsiaTheme="minorEastAsia" w:cstheme="minorEastAsia"/>
                <w:color w:val="auto"/>
                <w:sz w:val="21"/>
                <w:szCs w:val="21"/>
              </w:rPr>
              <w:t>EO],n=2～16}</w:t>
            </w:r>
          </w:p>
        </w:tc>
        <w:tc>
          <w:tcPr>
            <w:tcW w:w="1160"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31414—2015</w:t>
            </w:r>
          </w:p>
        </w:tc>
        <w:tc>
          <w:tcPr>
            <w:tcW w:w="55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A</w:t>
            </w:r>
          </w:p>
        </w:tc>
        <w:tc>
          <w:tcPr>
            <w:tcW w:w="621"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604" w:type="pct"/>
            <w:vMerge w:val="restar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主要性能</w:t>
            </w: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1624"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低温稳定性</w:t>
            </w:r>
          </w:p>
        </w:tc>
        <w:tc>
          <w:tcPr>
            <w:tcW w:w="1160"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9268—2008</w:t>
            </w:r>
          </w:p>
        </w:tc>
        <w:tc>
          <w:tcPr>
            <w:tcW w:w="558"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sz w:val="21"/>
                <w:szCs w:val="21"/>
              </w:rPr>
              <w:t>B</w:t>
            </w:r>
          </w:p>
        </w:tc>
        <w:tc>
          <w:tcPr>
            <w:tcW w:w="621"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1624" w:type="pct"/>
            <w:noWrap w:val="0"/>
            <w:vAlign w:val="center"/>
          </w:tcPr>
          <w:p>
            <w:pPr>
              <w:autoSpaceDE w:val="0"/>
              <w:autoSpaceDN w:val="0"/>
              <w:adjustRightInd w:val="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对比率(白色和浅色)</w:t>
            </w:r>
          </w:p>
        </w:tc>
        <w:tc>
          <w:tcPr>
            <w:tcW w:w="1160" w:type="pct"/>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23981.1—2019</w:t>
            </w:r>
          </w:p>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（反射率法方法A）</w:t>
            </w:r>
          </w:p>
        </w:tc>
        <w:tc>
          <w:tcPr>
            <w:tcW w:w="558" w:type="pct"/>
            <w:noWrap w:val="0"/>
            <w:vAlign w:val="center"/>
          </w:tcPr>
          <w:p>
            <w:pPr>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B</w:t>
            </w:r>
          </w:p>
        </w:tc>
        <w:tc>
          <w:tcPr>
            <w:tcW w:w="621" w:type="pct"/>
            <w:noWrap w:val="0"/>
            <w:vAlign w:val="center"/>
          </w:tcPr>
          <w:p>
            <w:pPr>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p>
        </w:tc>
        <w:tc>
          <w:tcPr>
            <w:tcW w:w="1624" w:type="pct"/>
            <w:noWrap w:val="0"/>
            <w:vAlign w:val="center"/>
          </w:tcPr>
          <w:p>
            <w:pPr>
              <w:autoSpaceDE w:val="0"/>
              <w:autoSpaceDN w:val="0"/>
              <w:adjustRightInd w:val="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耐沾污性(白色和浅色)</w:t>
            </w:r>
          </w:p>
        </w:tc>
        <w:tc>
          <w:tcPr>
            <w:tcW w:w="1160" w:type="pct"/>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9755—2014</w:t>
            </w:r>
          </w:p>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9780—2013</w:t>
            </w:r>
          </w:p>
        </w:tc>
        <w:tc>
          <w:tcPr>
            <w:tcW w:w="558" w:type="pct"/>
            <w:noWrap w:val="0"/>
            <w:vAlign w:val="center"/>
          </w:tcPr>
          <w:p>
            <w:pPr>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B</w:t>
            </w:r>
          </w:p>
        </w:tc>
        <w:tc>
          <w:tcPr>
            <w:tcW w:w="621" w:type="pct"/>
            <w:noWrap w:val="0"/>
            <w:vAlign w:val="center"/>
          </w:tcPr>
          <w:p>
            <w:pPr>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p>
        </w:tc>
        <w:tc>
          <w:tcPr>
            <w:tcW w:w="1624" w:type="pct"/>
            <w:noWrap w:val="0"/>
            <w:vAlign w:val="center"/>
          </w:tcPr>
          <w:p>
            <w:pPr>
              <w:autoSpaceDE w:val="0"/>
              <w:autoSpaceDN w:val="0"/>
              <w:adjustRightInd w:val="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耐洗刷性</w:t>
            </w:r>
          </w:p>
        </w:tc>
        <w:tc>
          <w:tcPr>
            <w:tcW w:w="1160" w:type="pct"/>
            <w:noWrap w:val="0"/>
            <w:vAlign w:val="center"/>
          </w:tcPr>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9755—2014</w:t>
            </w:r>
          </w:p>
        </w:tc>
        <w:tc>
          <w:tcPr>
            <w:tcW w:w="558" w:type="pct"/>
            <w:noWrap w:val="0"/>
            <w:vAlign w:val="center"/>
          </w:tcPr>
          <w:p>
            <w:pPr>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B</w:t>
            </w:r>
          </w:p>
        </w:tc>
        <w:tc>
          <w:tcPr>
            <w:tcW w:w="621" w:type="pct"/>
            <w:noWrap w:val="0"/>
            <w:vAlign w:val="center"/>
          </w:tcPr>
          <w:p>
            <w:pPr>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p>
        </w:tc>
        <w:tc>
          <w:tcPr>
            <w:tcW w:w="1624" w:type="pct"/>
            <w:noWrap w:val="0"/>
            <w:vAlign w:val="center"/>
          </w:tcPr>
          <w:p>
            <w:pPr>
              <w:autoSpaceDE w:val="0"/>
              <w:autoSpaceDN w:val="0"/>
              <w:adjustRightInd w:val="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耐碱性</w:t>
            </w:r>
          </w:p>
        </w:tc>
        <w:tc>
          <w:tcPr>
            <w:tcW w:w="1160" w:type="pct"/>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9755—2014</w:t>
            </w:r>
          </w:p>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9265—2009</w:t>
            </w:r>
          </w:p>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1766—2008</w:t>
            </w:r>
          </w:p>
        </w:tc>
        <w:tc>
          <w:tcPr>
            <w:tcW w:w="558" w:type="pct"/>
            <w:noWrap w:val="0"/>
            <w:vAlign w:val="center"/>
          </w:tcPr>
          <w:p>
            <w:pPr>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B</w:t>
            </w:r>
          </w:p>
        </w:tc>
        <w:tc>
          <w:tcPr>
            <w:tcW w:w="621" w:type="pct"/>
            <w:noWrap w:val="0"/>
            <w:vAlign w:val="center"/>
          </w:tcPr>
          <w:p>
            <w:pPr>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04"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30"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p>
        </w:tc>
        <w:tc>
          <w:tcPr>
            <w:tcW w:w="1624" w:type="pct"/>
            <w:noWrap w:val="0"/>
            <w:vAlign w:val="center"/>
          </w:tcPr>
          <w:p>
            <w:pPr>
              <w:autoSpaceDE w:val="0"/>
              <w:autoSpaceDN w:val="0"/>
              <w:adjustRightInd w:val="0"/>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耐水性</w:t>
            </w:r>
          </w:p>
        </w:tc>
        <w:tc>
          <w:tcPr>
            <w:tcW w:w="1160" w:type="pct"/>
            <w:noWrap w:val="0"/>
            <w:vAlign w:val="center"/>
          </w:tcPr>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9755—2014</w:t>
            </w:r>
          </w:p>
          <w:p>
            <w:pPr>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GB/T 1733—1993</w:t>
            </w:r>
          </w:p>
          <w:p>
            <w:pPr>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sz w:val="21"/>
                <w:szCs w:val="21"/>
              </w:rPr>
              <w:t>GB/T 1766—2008</w:t>
            </w:r>
          </w:p>
        </w:tc>
        <w:tc>
          <w:tcPr>
            <w:tcW w:w="558" w:type="pct"/>
            <w:noWrap w:val="0"/>
            <w:vAlign w:val="center"/>
          </w:tcPr>
          <w:p>
            <w:pPr>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B</w:t>
            </w:r>
          </w:p>
        </w:tc>
        <w:tc>
          <w:tcPr>
            <w:tcW w:w="621" w:type="pct"/>
            <w:noWrap w:val="0"/>
            <w:vAlign w:val="center"/>
          </w:tcPr>
          <w:p>
            <w:pPr>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Cs/>
                <w:color w:val="auto"/>
                <w:sz w:val="21"/>
                <w:szCs w:val="21"/>
              </w:rPr>
              <w:t>否</w:t>
            </w:r>
          </w:p>
        </w:tc>
      </w:tr>
    </w:tbl>
    <w:p>
      <w:pPr>
        <w:adjustRightInd w:val="0"/>
        <w:snapToGrid w:val="0"/>
        <w:spacing w:line="440" w:lineRule="exact"/>
        <w:ind w:firstLine="440" w:firstLineChars="200"/>
        <w:rPr>
          <w:rFonts w:hint="eastAsia"/>
          <w:color w:val="auto"/>
          <w:szCs w:val="21"/>
        </w:rPr>
      </w:pPr>
      <w:bookmarkStart w:id="0" w:name="_Hlk28257335"/>
      <w:r>
        <w:rPr>
          <w:rFonts w:hint="eastAsia" w:ascii="宋体" w:hAnsi="宋体" w:cs="宋体"/>
          <w:color w:val="auto"/>
          <w:kern w:val="0"/>
          <w:sz w:val="22"/>
          <w:szCs w:val="22"/>
        </w:rPr>
        <w:t>重要程度分级：</w:t>
      </w:r>
      <w:r>
        <w:rPr>
          <w:rFonts w:hint="eastAsia"/>
          <w:color w:val="auto"/>
          <w:szCs w:val="21"/>
        </w:rPr>
        <w:t>A类-极重要质量项目，B类-重要质量项目，C类</w:t>
      </w:r>
      <w:r>
        <w:rPr>
          <w:color w:val="auto"/>
          <w:szCs w:val="21"/>
          <w:lang w:val="en"/>
        </w:rPr>
        <w:t>-</w:t>
      </w:r>
      <w:r>
        <w:rPr>
          <w:rFonts w:hint="eastAsia"/>
          <w:color w:val="auto"/>
          <w:szCs w:val="21"/>
        </w:rPr>
        <w:t>一般质量项目</w:t>
      </w:r>
    </w:p>
    <w:p>
      <w:pPr>
        <w:adjustRightInd w:val="0"/>
        <w:snapToGrid w:val="0"/>
        <w:spacing w:line="440" w:lineRule="exact"/>
        <w:ind w:firstLine="420" w:firstLineChars="200"/>
        <w:rPr>
          <w:rFonts w:hint="eastAsia"/>
          <w:color w:val="auto"/>
          <w:szCs w:val="21"/>
        </w:rPr>
      </w:pPr>
      <w:r>
        <w:rPr>
          <w:rFonts w:hint="eastAsia"/>
          <w:color w:val="auto"/>
          <w:szCs w:val="21"/>
        </w:rPr>
        <w:t>执行企业标准、团体标准、地方标准的产品，检验项目参照上述内容执行。</w:t>
      </w:r>
    </w:p>
    <w:p>
      <w:pPr>
        <w:adjustRightInd w:val="0"/>
        <w:snapToGrid w:val="0"/>
        <w:spacing w:line="440" w:lineRule="exact"/>
        <w:ind w:firstLine="420" w:firstLineChars="200"/>
        <w:rPr>
          <w:rFonts w:hint="eastAsia"/>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bookmarkEnd w:id="0"/>
    </w:p>
    <w:p>
      <w:pPr>
        <w:adjustRightInd w:val="0"/>
        <w:snapToGrid w:val="0"/>
        <w:spacing w:before="312" w:beforeLines="100" w:after="312" w:afterLines="100" w:line="440" w:lineRule="exact"/>
        <w:rPr>
          <w:rFonts w:hint="eastAsia" w:eastAsia="黑体"/>
          <w:color w:val="auto"/>
          <w:szCs w:val="21"/>
        </w:rPr>
      </w:pPr>
      <w:r>
        <w:rPr>
          <w:rFonts w:hint="eastAsia" w:eastAsia="黑体"/>
          <w:color w:val="auto"/>
          <w:szCs w:val="21"/>
        </w:rPr>
        <w:t>4 判定规则</w:t>
      </w:r>
    </w:p>
    <w:p>
      <w:pPr>
        <w:adjustRightInd w:val="0"/>
        <w:snapToGrid w:val="0"/>
        <w:spacing w:line="440" w:lineRule="exact"/>
        <w:rPr>
          <w:rFonts w:hint="eastAsia"/>
          <w:color w:val="auto"/>
          <w:szCs w:val="21"/>
        </w:rPr>
      </w:pPr>
      <w:r>
        <w:rPr>
          <w:rFonts w:hint="eastAsia"/>
          <w:color w:val="auto"/>
          <w:szCs w:val="21"/>
        </w:rPr>
        <w:t>4.1依据标准</w:t>
      </w:r>
    </w:p>
    <w:p>
      <w:pPr>
        <w:snapToGrid w:val="0"/>
        <w:spacing w:line="440" w:lineRule="exact"/>
        <w:ind w:firstLine="420" w:firstLineChars="200"/>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GB 18582—2020</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建筑用墙面涂料中有害物质限量</w:t>
      </w:r>
      <w:r>
        <w:rPr>
          <w:rFonts w:hint="eastAsia" w:asciiTheme="minorEastAsia" w:hAnsiTheme="minorEastAsia" w:eastAsiaTheme="minorEastAsia" w:cstheme="minorEastAsia"/>
          <w:color w:val="auto"/>
          <w:lang w:eastAsia="zh-CN"/>
        </w:rPr>
        <w:t>》</w:t>
      </w:r>
    </w:p>
    <w:p>
      <w:pPr>
        <w:snapToGrid w:val="0"/>
        <w:spacing w:line="440" w:lineRule="exact"/>
        <w:ind w:firstLine="420" w:firstLineChars="200"/>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 xml:space="preserve">GB/T 9755—2014 </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合成树脂乳液外墙涂料</w:t>
      </w:r>
      <w:r>
        <w:rPr>
          <w:rFonts w:hint="eastAsia" w:asciiTheme="minorEastAsia" w:hAnsiTheme="minorEastAsia" w:eastAsiaTheme="minorEastAsia" w:cstheme="minorEastAsia"/>
          <w:color w:val="auto"/>
          <w:lang w:eastAsia="zh-CN"/>
        </w:rPr>
        <w:t>》</w:t>
      </w:r>
    </w:p>
    <w:p>
      <w:pPr>
        <w:adjustRightInd w:val="0"/>
        <w:snapToGrid w:val="0"/>
        <w:spacing w:line="440" w:lineRule="exact"/>
        <w:ind w:firstLine="420" w:firstLineChars="200"/>
        <w:rPr>
          <w:rFonts w:hint="eastAsia"/>
          <w:color w:val="auto"/>
          <w:szCs w:val="21"/>
        </w:rPr>
      </w:pPr>
      <w:r>
        <w:rPr>
          <w:rFonts w:hint="eastAsia"/>
          <w:color w:val="auto"/>
          <w:szCs w:val="21"/>
        </w:rPr>
        <w:t>现行有效的国家标准、企业标准、团体标准、地方标准及产品明示质量要求</w:t>
      </w:r>
    </w:p>
    <w:p>
      <w:pPr>
        <w:adjustRightInd w:val="0"/>
        <w:snapToGrid w:val="0"/>
        <w:spacing w:line="440" w:lineRule="exact"/>
        <w:rPr>
          <w:color w:val="auto"/>
          <w:szCs w:val="21"/>
        </w:rPr>
      </w:pPr>
      <w:r>
        <w:rPr>
          <w:rFonts w:hint="eastAsia"/>
          <w:color w:val="auto"/>
          <w:szCs w:val="21"/>
        </w:rPr>
        <w:t>4.2判定原则</w:t>
      </w:r>
    </w:p>
    <w:p>
      <w:pPr>
        <w:adjustRightInd w:val="0"/>
        <w:snapToGrid w:val="0"/>
        <w:spacing w:line="440" w:lineRule="exact"/>
        <w:ind w:firstLine="420" w:firstLineChars="200"/>
        <w:rPr>
          <w:color w:val="auto"/>
          <w:szCs w:val="21"/>
        </w:rPr>
      </w:pPr>
      <w:r>
        <w:rPr>
          <w:rFonts w:hint="eastAsia" w:cs="宋体"/>
          <w:color w:val="auto"/>
        </w:rPr>
        <w:t>经检验，检验项目全部合格，判定为被抽查产品所检项目未发现不合格</w:t>
      </w:r>
      <w:r>
        <w:rPr>
          <w:rFonts w:hint="eastAsia"/>
          <w:color w:val="auto"/>
          <w:szCs w:val="21"/>
        </w:rPr>
        <w:t>；检验项目中任一项或一项以上不合格，判定为被抽查产品不合格。</w:t>
      </w:r>
    </w:p>
    <w:p>
      <w:pPr>
        <w:adjustRightInd w:val="0"/>
        <w:snapToGrid w:val="0"/>
        <w:spacing w:line="440" w:lineRule="exact"/>
        <w:ind w:firstLine="417" w:firstLineChars="199"/>
        <w:rPr>
          <w:color w:val="auto"/>
          <w:szCs w:val="21"/>
        </w:rPr>
      </w:pPr>
      <w:r>
        <w:rPr>
          <w:rFonts w:hint="eastAsia"/>
          <w:color w:val="auto"/>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color w:val="auto"/>
          <w:szCs w:val="21"/>
        </w:rPr>
      </w:pPr>
      <w:r>
        <w:rPr>
          <w:rFonts w:hint="eastAsia"/>
          <w:color w:val="auto"/>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color w:val="auto"/>
          <w:szCs w:val="21"/>
        </w:rPr>
      </w:pPr>
      <w:r>
        <w:rPr>
          <w:rFonts w:hint="eastAsia"/>
          <w:color w:val="auto"/>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color w:val="auto"/>
          <w:szCs w:val="21"/>
        </w:rPr>
      </w:pPr>
      <w:r>
        <w:rPr>
          <w:rFonts w:hint="eastAsia"/>
          <w:color w:val="auto"/>
          <w:szCs w:val="21"/>
        </w:rPr>
        <w:t>若被检产品明示的质量要求缺少本细则中检验项目依据的强制性标准要求时，应按照强制性标准要求判定。</w:t>
      </w:r>
    </w:p>
    <w:p>
      <w:pPr>
        <w:adjustRightInd w:val="0"/>
        <w:snapToGrid w:val="0"/>
        <w:spacing w:line="440" w:lineRule="exact"/>
        <w:ind w:firstLine="417" w:firstLineChars="199"/>
        <w:rPr>
          <w:rFonts w:hint="eastAsia"/>
          <w:color w:val="auto"/>
          <w:szCs w:val="21"/>
        </w:rPr>
      </w:pPr>
      <w:r>
        <w:rPr>
          <w:rFonts w:hint="eastAsia"/>
          <w:color w:val="auto"/>
          <w:szCs w:val="21"/>
        </w:rPr>
        <w:t>若被检产品明示的质量要求缺少本细则中检验项目依据的推荐性标准要求时，该项目不参与判定。</w:t>
      </w:r>
    </w:p>
    <w:p>
      <w:pPr>
        <w:rPr>
          <w:color w:val="auto"/>
        </w:rPr>
      </w:pPr>
    </w:p>
    <w:sectPr>
      <w:pgSz w:w="11906" w:h="16838"/>
      <w:pgMar w:top="1984"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yMDdlZGI4ZjEyNmNiODkzZmVhNDZjOGNmNjI4NTIifQ=="/>
  </w:docVars>
  <w:rsids>
    <w:rsidRoot w:val="6FEFCE1E"/>
    <w:rsid w:val="2BFFEEC9"/>
    <w:rsid w:val="2F701735"/>
    <w:rsid w:val="62B42DFF"/>
    <w:rsid w:val="69DFFCEA"/>
    <w:rsid w:val="6FEFCE1E"/>
    <w:rsid w:val="BD58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kern w:val="0"/>
      <w:sz w:val="20"/>
      <w:szCs w:val="20"/>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1074</Words>
  <Characters>1369</Characters>
  <Lines>0</Lines>
  <Paragraphs>0</Paragraphs>
  <TotalTime>0</TotalTime>
  <ScaleCrop>false</ScaleCrop>
  <LinksUpToDate>false</LinksUpToDate>
  <CharactersWithSpaces>1401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2023-05-12T07:26:00Z</dcterms:created>
  <dc:creator>uos</dc:creator>
  <cp:lastModifiedBy>暖阳</cp:lastModifiedBy>
  <dcterms:modified xsi:type="dcterms:W3CDTF">2023-07-20T08:40:04Z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7224C250BCE34876A1443EEB8923AE00_13</vt:lpwstr>
  </property>
</Properties>
</file>